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04"/>
        </w:tabs>
        <w:kinsoku/>
        <w:wordWrap/>
        <w:overflowPunct/>
        <w:topLinePunct w:val="0"/>
        <w:autoSpaceDE/>
        <w:autoSpaceDN/>
        <w:bidi w:val="0"/>
        <w:adjustRightInd/>
        <w:snapToGrid/>
        <w:spacing w:line="360" w:lineRule="auto"/>
        <w:ind w:firstLine="0" w:firstLineChars="0"/>
        <w:jc w:val="both"/>
        <w:textAlignment w:val="auto"/>
        <w:rPr>
          <w:rFonts w:hint="eastAsia" w:ascii="黑体" w:hAnsi="黑体" w:eastAsia="黑体" w:cs="黑体"/>
          <w:color w:val="000000"/>
          <w:spacing w:val="-8"/>
          <w:kern w:val="0"/>
          <w:sz w:val="32"/>
          <w:szCs w:val="32"/>
          <w:lang w:val="en-US" w:eastAsia="zh-CN" w:bidi="ar-SA"/>
        </w:rPr>
      </w:pPr>
      <w:bookmarkStart w:id="0" w:name="_GoBack"/>
      <w:bookmarkEnd w:id="0"/>
      <w:r>
        <w:rPr>
          <w:rFonts w:hint="eastAsia" w:ascii="黑体" w:hAnsi="黑体" w:eastAsia="黑体" w:cs="黑体"/>
          <w:color w:val="000000"/>
          <w:spacing w:val="-8"/>
          <w:kern w:val="0"/>
          <w:sz w:val="32"/>
          <w:szCs w:val="32"/>
          <w:lang w:val="en-US" w:eastAsia="zh-CN" w:bidi="ar-SA"/>
        </w:rPr>
        <w:t>附件1</w:t>
      </w:r>
    </w:p>
    <w:p>
      <w:pPr>
        <w:keepNext w:val="0"/>
        <w:keepLines w:val="0"/>
        <w:pageBreakBefore w:val="0"/>
        <w:tabs>
          <w:tab w:val="left" w:pos="204"/>
        </w:tabs>
        <w:kinsoku/>
        <w:wordWrap/>
        <w:overflowPunct/>
        <w:topLinePunct w:val="0"/>
        <w:autoSpaceDE/>
        <w:autoSpaceDN/>
        <w:bidi w:val="0"/>
        <w:adjustRightInd/>
        <w:snapToGrid/>
        <w:spacing w:line="360" w:lineRule="auto"/>
        <w:ind w:firstLine="0" w:firstLineChars="0"/>
        <w:jc w:val="both"/>
        <w:textAlignment w:val="auto"/>
        <w:rPr>
          <w:rFonts w:hint="default" w:ascii="黑体" w:hAnsi="黑体" w:eastAsia="黑体" w:cs="黑体"/>
          <w:color w:val="000000"/>
          <w:spacing w:val="-8"/>
          <w:kern w:val="0"/>
          <w:sz w:val="32"/>
          <w:szCs w:val="32"/>
          <w:lang w:val="en-US" w:eastAsia="zh-CN" w:bidi="ar-SA"/>
        </w:rPr>
      </w:pPr>
    </w:p>
    <w:p>
      <w:pPr>
        <w:keepNext w:val="0"/>
        <w:keepLines w:val="0"/>
        <w:spacing w:line="360" w:lineRule="auto"/>
        <w:ind w:firstLine="0" w:firstLineChars="0"/>
        <w:jc w:val="center"/>
        <w:rPr>
          <w:rFonts w:hint="eastAsia" w:ascii="方正小标宋简体" w:hAnsi="仿宋_GB2312" w:eastAsia="方正小标宋简体" w:cs="仿宋_GB2312"/>
          <w:color w:val="000000"/>
          <w:spacing w:val="-8"/>
          <w:kern w:val="0"/>
          <w:sz w:val="44"/>
          <w:szCs w:val="44"/>
          <w:lang w:val="en-US" w:eastAsia="zh-CN" w:bidi="ar-SA"/>
        </w:rPr>
      </w:pPr>
      <w:r>
        <w:rPr>
          <w:rFonts w:hint="eastAsia" w:ascii="方正小标宋简体" w:hAnsi="仿宋_GB2312" w:eastAsia="方正小标宋简体" w:cs="仿宋_GB2312"/>
          <w:color w:val="000000"/>
          <w:spacing w:val="-8"/>
          <w:kern w:val="0"/>
          <w:sz w:val="44"/>
          <w:szCs w:val="44"/>
          <w:lang w:val="en-US" w:eastAsia="zh-CN" w:bidi="ar-SA"/>
        </w:rPr>
        <w:t>贵州省非遗工坊认定与管理办法</w:t>
      </w:r>
    </w:p>
    <w:p>
      <w:pPr>
        <w:pStyle w:val="4"/>
        <w:ind w:firstLine="5760" w:firstLineChars="1800"/>
        <w:jc w:val="both"/>
        <w:rPr>
          <w:rFonts w:hint="eastAsia" w:ascii="黑体" w:hAnsi="黑体" w:eastAsia="黑体" w:cs="黑体"/>
          <w:color w:val="000000"/>
          <w:sz w:val="32"/>
          <w:szCs w:val="32"/>
          <w:lang w:val="en-US" w:eastAsia="zh-CN"/>
        </w:rPr>
      </w:pPr>
    </w:p>
    <w:p>
      <w:pPr>
        <w:numPr>
          <w:ilvl w:val="0"/>
          <w:numId w:val="0"/>
        </w:numPr>
        <w:spacing w:before="157" w:beforeLines="50" w:after="157" w:afterLines="50" w:line="560" w:lineRule="exact"/>
        <w:ind w:firstLine="3520" w:firstLineChars="11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第一章　</w:t>
      </w:r>
      <w:r>
        <w:rPr>
          <w:rFonts w:hint="eastAsia" w:ascii="黑体" w:hAnsi="黑体" w:eastAsia="黑体" w:cs="黑体"/>
          <w:color w:val="000000"/>
          <w:kern w:val="0"/>
          <w:sz w:val="32"/>
          <w:szCs w:val="24"/>
          <w:lang w:val="en-US" w:eastAsia="zh-CN" w:bidi="ar-SA"/>
        </w:rPr>
        <w:t>总则</w:t>
      </w:r>
      <w:r>
        <w:rPr>
          <w:rFonts w:hint="eastAsia"/>
          <w:color w:val="000000"/>
          <w:lang w:val="en-US" w:eastAsia="zh-CN"/>
        </w:rPr>
        <w:t xml:space="preserve"> </w:t>
      </w:r>
    </w:p>
    <w:p>
      <w:pPr>
        <w:numPr>
          <w:ilvl w:val="0"/>
          <w:numId w:val="0"/>
        </w:numPr>
        <w:spacing w:line="560" w:lineRule="exact"/>
        <w:ind w:firstLine="0" w:firstLine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第一条  为深入贯彻习近平总书记关于非物质文化遗产保护重要指示批示精神，落实党中央、国务院关于扎实做好巩固拓展脱贫攻坚成果同乡村振兴有效衔接的工作部署，根据《文化和旅游部办公厅 人力资源社会保障部办公厅 国家乡村振兴局综合司关于持续推动非遗工坊建设助力乡村振兴的通知》（办非遗发</w:t>
      </w:r>
      <w:r>
        <w:rPr>
          <w:rFonts w:hint="default" w:ascii="Times New Roman" w:hAnsi="Times New Roman" w:eastAsia="仿宋_GB2312" w:cs="Times New Roman"/>
          <w:color w:val="auto"/>
          <w:sz w:val="32"/>
          <w:szCs w:val="32"/>
          <w:lang w:val="en-US" w:eastAsia="zh-CN"/>
        </w:rPr>
        <w:t>〔2021〕221</w:t>
      </w:r>
      <w:r>
        <w:rPr>
          <w:rFonts w:hint="eastAsia" w:ascii="仿宋_GB2312" w:hAnsi="仿宋_GB2312" w:eastAsia="仿宋_GB2312" w:cs="仿宋_GB2312"/>
          <w:color w:val="000000"/>
          <w:sz w:val="32"/>
          <w:szCs w:val="32"/>
          <w:lang w:val="en-US" w:eastAsia="zh-CN"/>
        </w:rPr>
        <w:t>号）有关要求，为进一步推动贵州省非遗工坊（原非遗扶贫就业工坊）建设，结合本省实际，制定本办法。</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第二条  本办法所称的非遗工坊，是指依托非遗代表性项目或传统手工艺，开展非遗保护传承，带动当地人群就地就近就业的各类经营主体和生产加工点。</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第三条  非遗工坊建设以加强民族传统手工艺保护和传承，持续推动当地人群学习传统技艺，提升技能艺能，促进人民群众就业增收，巩固拓展脱贫攻坚成果，助力乡村振兴为目标。</w:t>
      </w:r>
    </w:p>
    <w:p>
      <w:pPr>
        <w:pStyle w:val="3"/>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第四条　省文化和旅游厅、省人力资源社会保障厅、省乡村振兴局对全省非遗工坊实行统一领导，负责非遗工坊的指导、协调、服务、管理工作，市（州）级文化和旅游、人力资源社会保障和乡村振兴部门负责非遗工坊的规划、建设、服务、管理和督查。县级文化和旅游部门会同本级人力资源社会保障、乡村振兴部门负责其辖区非遗工坊的遴选认定和具体管理工作。</w:t>
      </w:r>
    </w:p>
    <w:p>
      <w:pPr>
        <w:numPr>
          <w:ilvl w:val="0"/>
          <w:numId w:val="0"/>
        </w:numPr>
        <w:spacing w:before="157" w:beforeLines="50" w:after="157" w:afterLines="50" w:line="560" w:lineRule="exact"/>
        <w:ind w:firstLine="0" w:firstLineChars="0"/>
        <w:jc w:val="center"/>
        <w:rPr>
          <w:rFonts w:hint="eastAsia" w:ascii="黑体" w:hAnsi="黑体" w:eastAsia="黑体" w:cs="黑体"/>
          <w:color w:val="000000"/>
          <w:kern w:val="0"/>
          <w:sz w:val="32"/>
          <w:szCs w:val="24"/>
          <w:lang w:val="en-US" w:eastAsia="zh-CN" w:bidi="ar-SA"/>
        </w:rPr>
      </w:pPr>
    </w:p>
    <w:p>
      <w:pPr>
        <w:numPr>
          <w:ilvl w:val="0"/>
          <w:numId w:val="0"/>
        </w:numPr>
        <w:spacing w:before="157" w:beforeLines="50" w:after="157" w:afterLines="50" w:line="560" w:lineRule="exact"/>
        <w:ind w:firstLine="0" w:firstLineChars="0"/>
        <w:jc w:val="center"/>
        <w:rPr>
          <w:rFonts w:hint="eastAsia" w:ascii="黑体" w:hAnsi="黑体" w:eastAsia="黑体" w:cs="黑体"/>
          <w:color w:val="000000"/>
          <w:kern w:val="0"/>
          <w:sz w:val="32"/>
          <w:szCs w:val="24"/>
          <w:lang w:val="en-US" w:eastAsia="zh-CN" w:bidi="ar-SA"/>
        </w:rPr>
      </w:pPr>
      <w:r>
        <w:rPr>
          <w:rFonts w:hint="eastAsia" w:ascii="黑体" w:hAnsi="黑体" w:eastAsia="黑体" w:cs="黑体"/>
          <w:color w:val="000000"/>
          <w:kern w:val="0"/>
          <w:sz w:val="32"/>
          <w:szCs w:val="24"/>
          <w:lang w:val="en-US" w:eastAsia="zh-CN" w:bidi="ar-SA"/>
        </w:rPr>
        <w:t>第二章　非遗工坊认定</w:t>
      </w:r>
    </w:p>
    <w:p>
      <w:pPr>
        <w:snapToGrid w:val="0"/>
        <w:spacing w:line="560" w:lineRule="exact"/>
        <w:ind w:firstLine="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第五条  认定非遗工坊本着“认定一批、示范一地、引领一方、带动一片”的建设原则，坚持公平、公正、公开，组织开展遴选认定工作。</w:t>
      </w:r>
    </w:p>
    <w:p>
      <w:pPr>
        <w:widowControl w:val="0"/>
        <w:snapToGrid w:val="0"/>
        <w:spacing w:line="560" w:lineRule="exact"/>
        <w:ind w:firstLine="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第六条  认定条件</w:t>
      </w:r>
    </w:p>
    <w:p>
      <w:pPr>
        <w:widowControl w:val="0"/>
        <w:snapToGrid w:val="0"/>
        <w:spacing w:line="560" w:lineRule="exact"/>
        <w:ind w:firstLine="0"/>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highlight w:val="none"/>
          <w:lang w:val="en-US" w:eastAsia="zh-CN"/>
        </w:rPr>
        <w:t>（一）依托当地一项或多项非遗代表性项目，或者富有特色、具备一定群众基础和市场前景的传统手工艺开展生产；</w:t>
      </w:r>
    </w:p>
    <w:p>
      <w:pPr>
        <w:widowControl w:val="0"/>
        <w:snapToGrid w:val="0"/>
        <w:spacing w:line="560" w:lineRule="exact"/>
        <w:ind w:firstLine="0"/>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（二）有建设、运营非遗工坊的牵头企业、合作社或带头人等各类经营主体和生产加工点，管理规范，按时足额支付劳动报酬，社会信誉良好，无违法违纪行为；</w:t>
      </w:r>
    </w:p>
    <w:p>
      <w:pPr>
        <w:widowControl w:val="0"/>
        <w:snapToGrid w:val="0"/>
        <w:spacing w:line="560" w:lineRule="exact"/>
        <w:ind w:firstLine="0"/>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（三）具备能够开展生产的场地、水电暖、工具设备、安全保障等条件；</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lang w:val="en-US" w:eastAsia="zh-CN"/>
        </w:rPr>
        <w:t>（四）吸纳带动脱贫人口、监测帮扶对象实现就业，促进就近就地实现灵活就业或居家就业，帮扶成效较好；</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（五）积极组织开展传统技艺培训，具有较强的组织协调能力、设计研发和生产能力，对行业发展有一定带头作用，传承有序，涌现一些后继人才；</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（六）生产经营中坚持核心生产环节使用传统技艺，吸纳传统工艺传承人、从业者参与生产；</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（七）积极参加公益活动，配合相关部门组织开展的非遗工坊产品展示展销等；</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（八）已在脱贫地区设立的原非遗扶贫就业工坊，符合以上条件规定，经认定纳入非遗工坊支持范围。</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第七条 认定程序</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请。非遗项目经营主体和生产加工点自愿申报，提交申报表，并提供相关佐证材料，向本地乡镇（街道）政府提出认定申请，乡镇（街道）政府进行初审，将符合条件的申请单位及相关资料，报所在县级文化和旅游部门。佐证材料包括但不限于以下材料：</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.非遗工坊场地和设备等相关基础资料;</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.非遗工坊已吸纳就业人数（附：吸纳就业劳动力花名册）;</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.非遗工坊产品目录及经营情况；</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lang w:val="en-US" w:eastAsia="zh-CN"/>
        </w:rPr>
        <w:t>.其他佐证资料。</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(二)审核和认定。县级文化和旅游部门会同本级人力资源社会保障、乡村振兴部门对非遗项目经营主体和生产加工点申请材料进行审核、实地调查核实、遴选认定；</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(三)公示。经评审合格的非遗项目经营主体和生产加工点分别在县级文化和旅游部门、人力资源社会保障、乡村振兴部门政府门户网站进行公示，公示期为</w:t>
      </w:r>
      <w:r>
        <w:rPr>
          <w:rFonts w:hint="default"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sz w:val="32"/>
          <w:szCs w:val="32"/>
          <w:lang w:val="en-US" w:eastAsia="zh-CN"/>
        </w:rPr>
        <w:t>个工作日；</w:t>
      </w:r>
    </w:p>
    <w:p>
      <w:pPr>
        <w:widowControl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授牌。经公示无异议的非遗工坊,由县级文化和旅游部门联合本级人力资源社会保障、乡村振兴部门予以确认公布并授牌，并及时将本地区非遗工坊建设信息报市（州）主管部门备案，同时报送省文化和旅游厅。</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right="0" w:firstLine="2560" w:firstLineChars="800"/>
        <w:jc w:val="both"/>
        <w:textAlignment w:val="auto"/>
        <w:rPr>
          <w:rFonts w:hint="eastAsia" w:ascii="黑体" w:hAnsi="黑体" w:eastAsia="黑体" w:cs="黑体"/>
          <w:color w:val="000000"/>
          <w:kern w:val="2"/>
          <w:sz w:val="32"/>
          <w:szCs w:val="32"/>
          <w:lang w:val="en-US" w:eastAsia="zh-CN" w:bidi="ar-S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right="0" w:firstLine="2560" w:firstLineChars="8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第三章  非遗工坊管理</w:t>
      </w:r>
    </w:p>
    <w:p>
      <w:pPr>
        <w:widowControl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第八条 文化和旅游部门：牵头做好非遗工坊建设各项工作，组织做好人员培训、</w:t>
      </w:r>
      <w:r>
        <w:rPr>
          <w:rFonts w:hint="default" w:ascii="仿宋_GB2312" w:hAnsi="仿宋_GB2312" w:eastAsia="仿宋_GB2312" w:cs="仿宋_GB2312"/>
          <w:color w:val="000000"/>
          <w:sz w:val="32"/>
          <w:szCs w:val="32"/>
          <w:lang w:val="en-US" w:eastAsia="zh-CN"/>
        </w:rPr>
        <w:t>产品设计、生产销售</w:t>
      </w:r>
      <w:r>
        <w:rPr>
          <w:rFonts w:hint="eastAsia" w:ascii="仿宋_GB2312" w:hAnsi="仿宋_GB2312" w:eastAsia="仿宋_GB2312" w:cs="仿宋_GB2312"/>
          <w:color w:val="000000"/>
          <w:sz w:val="32"/>
          <w:szCs w:val="32"/>
          <w:lang w:val="en-US" w:eastAsia="zh-CN"/>
        </w:rPr>
        <w:t>、宣传推广等工作。会同人力资源社会保障部门、乡村振兴部门实时监测非遗工坊存续发展状况，对非遗工坊持续予以指导和扶持。省文化和旅游厅定期统计、分析研判全省非遗工坊建设情况，并通报省人力资源社会保障厅、省乡村振兴局，同时报送文化和旅游部。</w:t>
      </w:r>
    </w:p>
    <w:p>
      <w:pPr>
        <w:widowControl w:val="0"/>
        <w:spacing w:line="560" w:lineRule="exact"/>
        <w:ind w:firstLine="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第九条 人力资源社会保障部门：协助文化旅游部门共同推进政策落地落实，配合文化和旅游、乡村振兴部门实时监测非遗工坊存续状况，对非遗工坊持续发展予以指导和扶持。</w:t>
      </w:r>
    </w:p>
    <w:p>
      <w:pPr>
        <w:widowControl w:val="0"/>
        <w:spacing w:line="560" w:lineRule="exact"/>
        <w:ind w:firstLine="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第十条 乡村振兴部门：将认定的非遗工坊录入县级巩固拓展脱贫攻坚成果和乡村振兴项目库，给予相应支持。加强脱贫人口和监测帮扶对象等人群的认定、建卡立卡。及时提供非遗工坊吸纳带动脱贫人口、监测帮扶对象情况，非遗工坊录入县级巩固拓展脱贫攻坚成果和乡村振兴项目库情况，实现信息动态更新。</w:t>
      </w:r>
    </w:p>
    <w:p>
      <w:pPr>
        <w:spacing w:line="560" w:lineRule="exact"/>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第十一条 经认定的非遗工坊应每年向县级文化和旅游部门确认或更新登记信息，连续两年未确认登记信息的非遗工坊，自动取消非遗工坊资格并摘牌。</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第十二条 非遗工坊有下列情形之一的，由县级文化和旅游部门联合本级人力资源社会保障、乡村振兴部门予以摘牌，并自撤销命名之日起</w:t>
      </w: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年内不得重新申报：</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（一）采取弄虚作假、谎报等不正当手段骗取设立非遗工坊的;</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（二）创作生产违背社会主义核心价值观、侵害公众权益、侵犯知识产权并造成一定后果的；</w:t>
      </w:r>
    </w:p>
    <w:p>
      <w:pPr>
        <w:bidi/>
        <w:spacing w:line="560" w:lineRule="exact"/>
        <w:ind w:firstLine="640" w:firstLineChars="200"/>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（三）工坊主要负责人有违法违纪行为的;</w:t>
      </w:r>
    </w:p>
    <w:p>
      <w:pPr>
        <w:bidi/>
        <w:spacing w:line="560" w:lineRule="exact"/>
        <w:ind w:firstLine="640" w:firstLineChars="200"/>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（四）一年以上不开展非遗工坊工作的;</w:t>
      </w:r>
    </w:p>
    <w:p>
      <w:pPr>
        <w:bidi/>
        <w:spacing w:line="560" w:lineRule="exact"/>
        <w:ind w:firstLine="640" w:firstLineChars="200"/>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（五）限期整改达不到要求的；</w:t>
      </w:r>
    </w:p>
    <w:p>
      <w:pPr>
        <w:bidi/>
        <w:spacing w:line="560" w:lineRule="exact"/>
        <w:ind w:firstLine="640" w:firstLineChars="200"/>
        <w:jc w:val="right"/>
        <w:rPr>
          <w:rFonts w:hint="eastAsia" w:ascii="黑体" w:hAnsi="黑体" w:eastAsia="黑体" w:cs="黑体"/>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　　（六）其他应当取消非遗工坊的行为。</w:t>
      </w:r>
    </w:p>
    <w:p>
      <w:pPr>
        <w:pStyle w:val="4"/>
        <w:spacing w:before="157" w:beforeLines="50" w:after="157" w:afterLines="50" w:line="560" w:lineRule="exact"/>
        <w:ind w:firstLine="0" w:firstLineChars="0"/>
        <w:jc w:val="center"/>
        <w:rPr>
          <w:rFonts w:hint="eastAsia" w:ascii="黑体" w:hAnsi="黑体" w:eastAsia="黑体" w:cs="黑体"/>
          <w:color w:val="000000"/>
          <w:kern w:val="2"/>
          <w:sz w:val="32"/>
          <w:szCs w:val="32"/>
          <w:lang w:val="en-US" w:eastAsia="zh-CN" w:bidi="ar-SA"/>
        </w:rPr>
      </w:pPr>
    </w:p>
    <w:p>
      <w:pPr>
        <w:pStyle w:val="4"/>
        <w:spacing w:before="157" w:beforeLines="50" w:after="157" w:afterLines="50" w:line="560" w:lineRule="exact"/>
        <w:ind w:firstLine="0" w:firstLineChars="0"/>
        <w:jc w:val="center"/>
        <w:rPr>
          <w:rFonts w:hint="default" w:ascii="Calibri" w:hAnsi="Calibri" w:eastAsia="宋体" w:cs="Times New Roman"/>
          <w:color w:val="000000"/>
          <w:kern w:val="2"/>
          <w:sz w:val="21"/>
          <w:szCs w:val="24"/>
          <w:lang w:val="en-US" w:eastAsia="zh-CN" w:bidi="ar-SA"/>
        </w:rPr>
      </w:pPr>
      <w:r>
        <w:rPr>
          <w:rFonts w:hint="eastAsia" w:ascii="黑体" w:hAnsi="黑体" w:eastAsia="黑体" w:cs="黑体"/>
          <w:color w:val="000000"/>
          <w:kern w:val="2"/>
          <w:sz w:val="32"/>
          <w:szCs w:val="32"/>
          <w:lang w:val="en-US" w:eastAsia="zh-CN" w:bidi="ar-SA"/>
        </w:rPr>
        <w:t>第四章　扶持措施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SA"/>
        </w:rPr>
        <w:t xml:space="preserve">第十三条 </w:t>
      </w:r>
      <w:r>
        <w:rPr>
          <w:rFonts w:hint="eastAsia" w:ascii="仿宋_GB2312" w:hAnsi="仿宋_GB2312" w:eastAsia="仿宋_GB2312" w:cs="仿宋_GB2312"/>
          <w:color w:val="000000"/>
          <w:sz w:val="32"/>
          <w:szCs w:val="32"/>
          <w:lang w:val="en-US" w:eastAsia="zh-CN"/>
        </w:rPr>
        <w:t>对传统工艺保护明显、研发设计能力出众、带动就业能力显著、经营活动规范合法，按程序认定为省级非遗工坊示范点的补助一次性奖补资金</w:t>
      </w:r>
      <w:r>
        <w:rPr>
          <w:rFonts w:hint="default"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sz w:val="32"/>
          <w:szCs w:val="32"/>
          <w:lang w:val="en-US" w:eastAsia="zh-CN"/>
        </w:rPr>
        <w:t>万元，从省级非遗保护专项资金列支。</w:t>
      </w:r>
    </w:p>
    <w:p>
      <w:pPr>
        <w:widowControl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SA"/>
        </w:rPr>
        <w:t>第十四条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z w:val="32"/>
          <w:szCs w:val="32"/>
          <w:lang w:val="en-US" w:eastAsia="zh-CN"/>
        </w:rPr>
        <w:t>非遗工坊经认定为省级特色劳务品牌的，给予一次性</w:t>
      </w:r>
      <w:r>
        <w:rPr>
          <w:rFonts w:hint="eastAsia" w:ascii="仿宋_GB2312" w:hAnsi="仿宋_GB2312" w:eastAsia="仿宋_GB2312" w:cs="仿宋_GB2312"/>
          <w:b w:val="0"/>
          <w:bCs w:val="0"/>
          <w:color w:val="000000"/>
          <w:sz w:val="32"/>
          <w:szCs w:val="32"/>
          <w:lang w:val="en-US" w:eastAsia="zh-CN"/>
        </w:rPr>
        <w:t>资金</w:t>
      </w:r>
      <w:r>
        <w:rPr>
          <w:rFonts w:hint="eastAsia" w:ascii="仿宋_GB2312" w:hAnsi="仿宋_GB2312" w:eastAsia="仿宋_GB2312" w:cs="仿宋_GB2312"/>
          <w:color w:val="000000"/>
          <w:sz w:val="32"/>
          <w:szCs w:val="32"/>
          <w:lang w:val="en-US" w:eastAsia="zh-CN"/>
        </w:rPr>
        <w:t>奖补。</w:t>
      </w:r>
    </w:p>
    <w:p>
      <w:pPr>
        <w:widowControl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第十五条 非遗工坊认定</w:t>
      </w:r>
      <w:r>
        <w:rPr>
          <w:rFonts w:hint="eastAsia" w:ascii="仿宋_GB2312" w:hAnsi="仿宋_GB2312" w:eastAsia="仿宋_GB2312" w:cs="仿宋_GB2312"/>
          <w:b w:val="0"/>
          <w:bCs w:val="0"/>
          <w:color w:val="000000"/>
          <w:sz w:val="32"/>
          <w:szCs w:val="32"/>
          <w:lang w:val="en-US" w:eastAsia="zh-CN"/>
        </w:rPr>
        <w:t>为省级就业帮扶车间、基地的，按规定分别给予</w:t>
      </w:r>
      <w:r>
        <w:rPr>
          <w:rFonts w:hint="default" w:ascii="Times New Roman" w:hAnsi="Times New Roman" w:eastAsia="仿宋_GB2312" w:cs="Times New Roman"/>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万元和</w:t>
      </w:r>
      <w:r>
        <w:rPr>
          <w:rFonts w:hint="default" w:ascii="Times New Roman" w:hAnsi="Times New Roman" w:eastAsia="仿宋_GB2312" w:cs="Times New Roman"/>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万元的一次性资金奖补；认定为省级就业帮扶示范基地的，按规定给予</w:t>
      </w:r>
      <w:r>
        <w:rPr>
          <w:rFonts w:hint="default" w:ascii="Times New Roman" w:hAnsi="Times New Roman" w:eastAsia="仿宋_GB2312" w:cs="Times New Roman"/>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val="en-US" w:eastAsia="zh-CN"/>
        </w:rPr>
        <w:t>万元的一次性资金奖补，所需资金由所在县从就业补助资金中列支。</w:t>
      </w:r>
      <w:r>
        <w:rPr>
          <w:rFonts w:hint="eastAsia" w:ascii="仿宋_GB2312" w:hAnsi="仿宋_GB2312" w:eastAsia="仿宋_GB2312" w:cs="仿宋_GB2312"/>
          <w:color w:val="000000"/>
          <w:sz w:val="32"/>
          <w:szCs w:val="32"/>
          <w:lang w:val="en-US" w:eastAsia="zh-CN"/>
        </w:rPr>
        <w:t>符合条件的优先推选为各级非遗生产性保护示范基地和非遗研学基地。</w:t>
      </w:r>
    </w:p>
    <w:p>
      <w:pPr>
        <w:widowControl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第十六条 注册为企业的非遗工坊，</w:t>
      </w:r>
      <w:r>
        <w:rPr>
          <w:rFonts w:hint="eastAsia" w:ascii="仿宋_GB2312" w:hAnsi="仿宋_GB2312" w:eastAsia="仿宋_GB2312" w:cs="仿宋_GB2312"/>
          <w:b w:val="0"/>
          <w:bCs w:val="0"/>
          <w:color w:val="000000"/>
          <w:sz w:val="32"/>
          <w:szCs w:val="32"/>
          <w:lang w:val="en-US" w:eastAsia="zh-CN"/>
        </w:rPr>
        <w:t>符合创业担保贷款贴息政策规定的，可分别给予不超过</w:t>
      </w:r>
      <w:r>
        <w:rPr>
          <w:rFonts w:hint="default" w:ascii="Times New Roman" w:hAnsi="Times New Roman" w:eastAsia="仿宋_GB2312" w:cs="Times New Roman"/>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lang w:val="en-US" w:eastAsia="zh-CN"/>
        </w:rPr>
        <w:t>万元、</w:t>
      </w:r>
      <w:r>
        <w:rPr>
          <w:rFonts w:hint="default" w:ascii="Times New Roman" w:hAnsi="Times New Roman" w:eastAsia="仿宋_GB2312" w:cs="Times New Roman"/>
          <w:b w:val="0"/>
          <w:bCs w:val="0"/>
          <w:color w:val="000000"/>
          <w:sz w:val="32"/>
          <w:szCs w:val="32"/>
          <w:lang w:val="en-US" w:eastAsia="zh-CN"/>
        </w:rPr>
        <w:t>300</w:t>
      </w:r>
      <w:r>
        <w:rPr>
          <w:rFonts w:hint="eastAsia" w:ascii="仿宋_GB2312" w:hAnsi="仿宋_GB2312" w:eastAsia="仿宋_GB2312" w:cs="仿宋_GB2312"/>
          <w:b w:val="0"/>
          <w:bCs w:val="0"/>
          <w:color w:val="000000"/>
          <w:sz w:val="32"/>
          <w:szCs w:val="32"/>
          <w:lang w:val="en-US" w:eastAsia="zh-CN"/>
        </w:rPr>
        <w:t>万元的个人、小微企业创业担保贷款和贴息。对还款积极，带动就业能力强、创业项目好的借款个人和小微企业，可继续提供贷款和贴息，但累计次数不超过</w:t>
      </w:r>
      <w:r>
        <w:rPr>
          <w:rFonts w:hint="default" w:ascii="Times New Roman" w:hAnsi="Times New Roman" w:eastAsia="仿宋_GB2312" w:cs="Times New Roman"/>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次。</w:t>
      </w:r>
    </w:p>
    <w:p>
      <w:pPr>
        <w:widowControl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第十七条 属脱贫人口的非遗代表性传承人首次创办非遗工坊，按照有关规定给予场地支持。自工商登记注册为企业或个体工商户之日起正常运营</w:t>
      </w:r>
      <w:r>
        <w:rPr>
          <w:rFonts w:hint="default" w:ascii="Times New Roman" w:hAnsi="Times New Roman" w:eastAsia="仿宋_GB2312" w:cs="Times New Roman"/>
          <w:color w:val="000000"/>
          <w:sz w:val="32"/>
          <w:szCs w:val="32"/>
          <w:lang w:val="en-US" w:eastAsia="zh-CN"/>
        </w:rPr>
        <w:t>12</w:t>
      </w:r>
      <w:r>
        <w:rPr>
          <w:rFonts w:hint="eastAsia" w:ascii="仿宋_GB2312" w:hAnsi="仿宋_GB2312" w:eastAsia="仿宋_GB2312" w:cs="仿宋_GB2312"/>
          <w:color w:val="000000"/>
          <w:sz w:val="32"/>
          <w:szCs w:val="32"/>
          <w:lang w:val="en-US" w:eastAsia="zh-CN"/>
        </w:rPr>
        <w:t>个月以上的，人力资源社会保障部门按规定</w:t>
      </w:r>
      <w:r>
        <w:rPr>
          <w:rFonts w:hint="eastAsia" w:ascii="仿宋_GB2312" w:hAnsi="仿宋_GB2312" w:eastAsia="仿宋_GB2312" w:cs="仿宋_GB2312"/>
          <w:b w:val="0"/>
          <w:bCs w:val="0"/>
          <w:color w:val="000000"/>
          <w:sz w:val="32"/>
          <w:szCs w:val="32"/>
          <w:lang w:val="en-US" w:eastAsia="zh-CN"/>
        </w:rPr>
        <w:t>给予</w:t>
      </w:r>
      <w:r>
        <w:rPr>
          <w:rFonts w:hint="default" w:ascii="Times New Roman" w:hAnsi="Times New Roman" w:eastAsia="仿宋_GB2312" w:cs="Times New Roman"/>
          <w:b w:val="0"/>
          <w:bCs w:val="0"/>
          <w:color w:val="000000"/>
          <w:sz w:val="32"/>
          <w:szCs w:val="32"/>
          <w:lang w:val="en-US" w:eastAsia="zh-CN"/>
        </w:rPr>
        <w:t>5000</w:t>
      </w:r>
      <w:r>
        <w:rPr>
          <w:rFonts w:hint="eastAsia" w:ascii="仿宋_GB2312" w:hAnsi="仿宋_GB2312" w:eastAsia="仿宋_GB2312" w:cs="仿宋_GB2312"/>
          <w:b w:val="0"/>
          <w:bCs w:val="0"/>
          <w:color w:val="000000"/>
          <w:sz w:val="32"/>
          <w:szCs w:val="32"/>
          <w:lang w:val="en-US" w:eastAsia="zh-CN"/>
        </w:rPr>
        <w:t>元的一次性创业补贴</w:t>
      </w:r>
      <w:r>
        <w:rPr>
          <w:rFonts w:hint="eastAsia" w:ascii="仿宋_GB2312" w:hAnsi="仿宋_GB2312" w:eastAsia="仿宋_GB2312" w:cs="仿宋_GB2312"/>
          <w:color w:val="000000"/>
          <w:sz w:val="32"/>
          <w:szCs w:val="32"/>
          <w:lang w:val="en-US" w:eastAsia="zh-CN"/>
        </w:rPr>
        <w:t>。</w:t>
      </w:r>
    </w:p>
    <w:p>
      <w:pPr>
        <w:widowControl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第十八条 在国家和省级非遗传承人研修培训计划中优先推荐非遗工坊带头人参加培训班学习。</w:t>
      </w:r>
    </w:p>
    <w:p>
      <w:pPr>
        <w:widowControl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第十九条 鼓励非遗工坊积极参加全国乡村振兴技能大赛贵州选拔赛，支持优秀非遗工坊带头人评选非物质文化遗产代表性项目代表性传承人、乡村文化和旅游能人、乡村工匠。</w:t>
      </w:r>
    </w:p>
    <w:p>
      <w:pPr>
        <w:widowControl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第二十条 非遗工坊录入县级巩固拓展脱贫攻坚成果和乡村振兴项目库，给予相应的政策支持。</w:t>
      </w:r>
    </w:p>
    <w:p>
      <w:pPr>
        <w:widowControl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第二十一条 支持国家、省级非遗传承人研修培训计划参与院校开展非遗工坊帮扶行动，组建</w:t>
      </w:r>
      <w:r>
        <w:rPr>
          <w:rFonts w:hint="eastAsia" w:ascii="仿宋_GB2312" w:hAnsi="仿宋_GB2312" w:eastAsia="仿宋_GB2312" w:cs="仿宋_GB2312"/>
          <w:color w:val="000000"/>
          <w:sz w:val="32"/>
          <w:szCs w:val="32"/>
        </w:rPr>
        <w:t>专家团队</w:t>
      </w:r>
      <w:r>
        <w:rPr>
          <w:rFonts w:hint="eastAsia" w:ascii="仿宋_GB2312" w:hAnsi="仿宋_GB2312" w:eastAsia="仿宋_GB2312" w:cs="仿宋_GB2312"/>
          <w:color w:val="000000"/>
          <w:sz w:val="32"/>
          <w:szCs w:val="32"/>
          <w:lang w:val="en-US" w:eastAsia="zh-CN"/>
        </w:rPr>
        <w:t>帮助工坊解决工艺难题，改善产品设计，</w:t>
      </w:r>
      <w:r>
        <w:rPr>
          <w:rFonts w:hint="eastAsia" w:ascii="仿宋_GB2312" w:hAnsi="仿宋_GB2312" w:eastAsia="仿宋_GB2312" w:cs="仿宋_GB2312"/>
          <w:color w:val="000000"/>
          <w:sz w:val="32"/>
          <w:szCs w:val="32"/>
        </w:rPr>
        <w:t>对接市场需求，提高产品附加值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拓展非遗工坊产品销售渠道。</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第二十二条 建立贵州非遗工坊产品目录（以下简称“目录”），优先推荐在“非遗购物节”以及各类展会销售，符合条件的推荐列入国家层面的非遗工坊产品目录，纳入消费帮扶产品范畴予以支持。</w:t>
      </w:r>
    </w:p>
    <w:p>
      <w:pPr>
        <w:keepNext w:val="0"/>
        <w:keepLines w:val="0"/>
        <w:pageBreakBefore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第五章　　</w:t>
      </w:r>
      <w:r>
        <w:rPr>
          <w:rFonts w:hint="eastAsia" w:ascii="黑体" w:hAnsi="黑体" w:eastAsia="黑体" w:cs="黑体"/>
          <w:color w:val="000000"/>
          <w:sz w:val="32"/>
          <w:szCs w:val="32"/>
          <w:lang w:eastAsia="zh-CN"/>
        </w:rPr>
        <w:t>监督检查</w:t>
      </w:r>
    </w:p>
    <w:p>
      <w:pPr>
        <w:spacing w:line="56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第二十三条</w:t>
      </w:r>
      <w:r>
        <w:rPr>
          <w:rFonts w:hint="eastAsia" w:ascii="仿宋_GB2312" w:hAnsi="仿宋_GB2312" w:eastAsia="仿宋_GB2312" w:cs="仿宋_GB2312"/>
          <w:color w:val="000000"/>
          <w:kern w:val="0"/>
          <w:sz w:val="32"/>
          <w:szCs w:val="32"/>
          <w:lang w:val="en-US" w:eastAsia="zh-CN"/>
        </w:rPr>
        <w:t xml:space="preserve"> 非遗工坊各级管理部门应按职责分工</w:t>
      </w:r>
      <w:r>
        <w:rPr>
          <w:rFonts w:hint="eastAsia" w:ascii="仿宋_GB2312" w:hAnsi="仿宋_GB2312" w:eastAsia="仿宋_GB2312" w:cs="仿宋_GB2312"/>
          <w:color w:val="000000"/>
          <w:kern w:val="0"/>
          <w:sz w:val="32"/>
          <w:szCs w:val="32"/>
          <w:lang w:val="en-US" w:eastAsia="zh-CN" w:bidi="ar-SA"/>
        </w:rPr>
        <w:t>建立</w:t>
      </w:r>
      <w:r>
        <w:rPr>
          <w:rFonts w:hint="eastAsia" w:ascii="仿宋_GB2312" w:hAnsi="仿宋_GB2312" w:eastAsia="仿宋_GB2312" w:cs="仿宋_GB2312"/>
          <w:color w:val="000000"/>
          <w:kern w:val="0"/>
          <w:sz w:val="32"/>
          <w:szCs w:val="32"/>
          <w:lang w:val="en-US" w:eastAsia="zh-CN"/>
        </w:rPr>
        <w:t>不定期随机抽查和重点检查机制，加强对各地非遗工坊认定管理工作的监督检查。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对存在问题的非遗工坊提出整改意见并限期改正，问题严重的给予通报批评，逾期不改的取消非遗工坊资格，并取消相关优惠扶持政策。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二十四</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非遗工坊认定和</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i w:val="0"/>
          <w:caps w:val="0"/>
          <w:color w:val="000000"/>
          <w:spacing w:val="0"/>
          <w:kern w:val="2"/>
          <w:sz w:val="32"/>
          <w:szCs w:val="32"/>
          <w:shd w:val="clear" w:color="auto" w:fill="auto"/>
          <w:lang w:val="en-US" w:eastAsia="zh-CN" w:bidi="ar"/>
        </w:rPr>
        <w:t>及其工作人员在</w:t>
      </w:r>
      <w:r>
        <w:rPr>
          <w:rFonts w:hint="eastAsia" w:ascii="仿宋_GB2312" w:hAnsi="仿宋_GB2312" w:eastAsia="仿宋_GB2312" w:cs="仿宋_GB2312"/>
          <w:color w:val="000000"/>
          <w:sz w:val="32"/>
          <w:szCs w:val="32"/>
          <w:lang w:eastAsia="zh-CN"/>
        </w:rPr>
        <w:t>认定和</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eastAsia="zh-CN"/>
        </w:rPr>
        <w:t>过程中，</w:t>
      </w:r>
      <w:r>
        <w:rPr>
          <w:rFonts w:hint="eastAsia" w:ascii="仿宋_GB2312" w:hAnsi="仿宋_GB2312" w:eastAsia="仿宋_GB2312" w:cs="仿宋_GB2312"/>
          <w:color w:val="000000"/>
          <w:sz w:val="32"/>
          <w:szCs w:val="32"/>
          <w:lang w:val="en-US" w:eastAsia="zh-CN"/>
        </w:rPr>
        <w:t>应当自觉接受社会和公民的监督。</w:t>
      </w:r>
      <w:r>
        <w:rPr>
          <w:rFonts w:hint="eastAsia" w:ascii="仿宋_GB2312" w:hAnsi="仿宋_GB2312" w:eastAsia="仿宋_GB2312" w:cs="仿宋_GB2312"/>
          <w:color w:val="000000"/>
          <w:sz w:val="32"/>
          <w:szCs w:val="32"/>
        </w:rPr>
        <w:t>任何单位和个人对违反本</w:t>
      </w:r>
      <w:r>
        <w:rPr>
          <w:rFonts w:hint="eastAsia" w:ascii="仿宋_GB2312" w:hAnsi="仿宋_GB2312" w:eastAsia="仿宋_GB2312" w:cs="仿宋_GB2312"/>
          <w:color w:val="000000"/>
          <w:sz w:val="32"/>
          <w:szCs w:val="32"/>
          <w:lang w:eastAsia="zh-CN"/>
        </w:rPr>
        <w:t>办法</w:t>
      </w:r>
      <w:r>
        <w:rPr>
          <w:rFonts w:hint="eastAsia" w:ascii="仿宋_GB2312" w:hAnsi="仿宋_GB2312" w:eastAsia="仿宋_GB2312" w:cs="仿宋_GB2312"/>
          <w:color w:val="000000"/>
          <w:sz w:val="32"/>
          <w:szCs w:val="32"/>
        </w:rPr>
        <w:t>的行为，有权向</w:t>
      </w:r>
      <w:r>
        <w:rPr>
          <w:rFonts w:hint="eastAsia" w:ascii="仿宋_GB2312" w:hAnsi="仿宋_GB2312" w:eastAsia="仿宋_GB2312" w:cs="仿宋_GB2312"/>
          <w:color w:val="000000"/>
          <w:sz w:val="32"/>
          <w:szCs w:val="32"/>
          <w:lang w:eastAsia="zh-CN"/>
        </w:rPr>
        <w:t>非遗工坊认定和</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举报。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非遗工坊认定和</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应当公布举报电话，并在接到举报后及时依法处理；对不属于本部门职责的，应当及时移送有关部门处理。</w:t>
      </w:r>
    </w:p>
    <w:p>
      <w:pPr>
        <w:spacing w:before="157" w:beforeLines="50" w:after="157" w:afterLines="50" w:line="560" w:lineRule="exact"/>
        <w:jc w:val="center"/>
        <w:rPr>
          <w:rFonts w:hint="eastAsia" w:ascii="黑体" w:hAnsi="黑体" w:eastAsia="黑体" w:cs="黑体"/>
          <w:color w:val="000000"/>
          <w:sz w:val="32"/>
          <w:szCs w:val="32"/>
        </w:rPr>
      </w:pPr>
    </w:p>
    <w:p>
      <w:pPr>
        <w:spacing w:before="157" w:beforeLines="50" w:after="157" w:afterLines="50"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章　　附则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第二十五条 本办法由省文化和旅游厅负责解释。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二十六</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rPr>
        <w:t>本办法自</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eastAsia="zh-CN"/>
        </w:rPr>
        <w:t>2</w:t>
      </w: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Times New Roman" w:hAnsi="Times New Roman" w:eastAsia="仿宋_GB2312" w:cs="Times New Roman"/>
          <w:color w:val="000000"/>
          <w:sz w:val="32"/>
          <w:szCs w:val="32"/>
          <w:lang w:val="en-US" w:eastAsia="zh-CN"/>
        </w:rPr>
        <w:t>7</w:t>
      </w:r>
      <w:r>
        <w:rPr>
          <w:rFonts w:hint="eastAsia" w:ascii="仿宋_GB2312" w:hAnsi="仿宋_GB2312" w:eastAsia="仿宋_GB2312" w:cs="仿宋_GB2312"/>
          <w:color w:val="000000"/>
          <w:sz w:val="32"/>
          <w:szCs w:val="32"/>
        </w:rPr>
        <w:t>月</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日起施行。</w:t>
      </w:r>
    </w:p>
    <w:p>
      <w:pPr>
        <w:pStyle w:val="4"/>
        <w:ind w:firstLine="0" w:firstLineChars="0"/>
        <w:rPr>
          <w:rFonts w:hint="eastAsia"/>
          <w:color w:val="000000"/>
          <w:lang w:eastAsia="zh-CN"/>
        </w:rPr>
        <w:sectPr>
          <w:footerReference r:id="rId3" w:type="default"/>
          <w:pgSz w:w="11906" w:h="16838"/>
          <w:pgMar w:top="2154" w:right="1474" w:bottom="1984" w:left="1587" w:header="851" w:footer="992" w:gutter="0"/>
          <w:pgNumType w:fmt="decimal"/>
          <w:cols w:space="720" w:num="1"/>
          <w:docGrid w:type="lines" w:linePitch="312" w:charSpace="0"/>
        </w:sectPr>
      </w:pPr>
    </w:p>
    <w:p>
      <w:pPr>
        <w:spacing w:line="560" w:lineRule="exact"/>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pPr>
        <w:spacing w:line="560" w:lineRule="exact"/>
        <w:rPr>
          <w:rFonts w:hint="default" w:ascii="Times New Roman" w:hAnsi="Times New Roman" w:eastAsia="方正小标宋简体" w:cs="Times New Roman"/>
          <w:color w:val="000000"/>
          <w:kern w:val="0"/>
          <w:sz w:val="44"/>
          <w:szCs w:val="44"/>
          <w:lang w:eastAsia="zh-CN" w:bidi="ar"/>
        </w:rPr>
      </w:pPr>
    </w:p>
    <w:p>
      <w:pPr>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kern w:val="0"/>
          <w:sz w:val="44"/>
          <w:szCs w:val="44"/>
          <w:lang w:eastAsia="zh-CN" w:bidi="ar"/>
        </w:rPr>
        <w:t>贵州</w:t>
      </w:r>
      <w:r>
        <w:rPr>
          <w:rFonts w:hint="default" w:ascii="Times New Roman" w:hAnsi="Times New Roman" w:eastAsia="方正小标宋简体" w:cs="Times New Roman"/>
          <w:color w:val="000000"/>
          <w:kern w:val="0"/>
          <w:sz w:val="44"/>
          <w:szCs w:val="44"/>
          <w:lang w:bidi="ar"/>
        </w:rPr>
        <w:t>省非遗工坊基本信息汇总表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4"/>
          <w:szCs w:val="24"/>
          <w:lang w:eastAsia="zh-CN" w:bidi="ar"/>
        </w:rPr>
      </w:pPr>
    </w:p>
    <w:p>
      <w:pPr>
        <w:spacing w:line="560" w:lineRule="exact"/>
        <w:jc w:val="both"/>
        <w:rPr>
          <w:rFonts w:hint="default" w:ascii="Times New Roman" w:hAnsi="Times New Roman" w:eastAsia="仿宋" w:cs="Times New Roman"/>
          <w:color w:val="000000"/>
          <w:kern w:val="0"/>
          <w:sz w:val="31"/>
          <w:szCs w:val="31"/>
          <w:lang w:bidi="ar"/>
        </w:rPr>
      </w:pPr>
      <w:r>
        <w:rPr>
          <w:rFonts w:hint="default" w:ascii="Times New Roman" w:hAnsi="Times New Roman" w:eastAsia="仿宋_GB2312" w:cs="Times New Roman"/>
          <w:color w:val="000000"/>
          <w:kern w:val="0"/>
          <w:sz w:val="24"/>
          <w:szCs w:val="24"/>
          <w:lang w:eastAsia="zh-CN" w:bidi="ar"/>
        </w:rPr>
        <w:t>填报</w:t>
      </w:r>
      <w:r>
        <w:rPr>
          <w:rFonts w:hint="default" w:ascii="Times New Roman" w:hAnsi="Times New Roman" w:eastAsia="仿宋_GB2312" w:cs="Times New Roman"/>
          <w:color w:val="000000"/>
          <w:kern w:val="0"/>
          <w:sz w:val="24"/>
          <w:szCs w:val="24"/>
          <w:lang w:bidi="ar"/>
        </w:rPr>
        <w:t xml:space="preserve">单位（盖章）： </w:t>
      </w:r>
      <w:r>
        <w:rPr>
          <w:rFonts w:hint="default" w:ascii="Times New Roman" w:hAnsi="Times New Roman" w:eastAsia="仿宋_GB2312" w:cs="Times New Roman"/>
          <w:color w:val="000000"/>
          <w:kern w:val="0"/>
          <w:sz w:val="24"/>
          <w:szCs w:val="24"/>
          <w:lang w:val="en-US" w:eastAsia="zh-CN" w:bidi="ar"/>
        </w:rPr>
        <w:t xml:space="preserve">                   填报人：              联系电话               填报时间：    </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 </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月 </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日 </w:t>
      </w:r>
    </w:p>
    <w:tbl>
      <w:tblPr>
        <w:tblStyle w:val="11"/>
        <w:tblW w:w="1432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532"/>
        <w:gridCol w:w="1311"/>
        <w:gridCol w:w="789"/>
        <w:gridCol w:w="1423"/>
        <w:gridCol w:w="1058"/>
        <w:gridCol w:w="941"/>
        <w:gridCol w:w="964"/>
        <w:gridCol w:w="1208"/>
        <w:gridCol w:w="1010"/>
        <w:gridCol w:w="975"/>
        <w:gridCol w:w="907"/>
        <w:gridCol w:w="78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79" w:type="dxa"/>
            <w:noWrap w:val="0"/>
            <w:vAlign w:val="center"/>
          </w:tcPr>
          <w:p>
            <w:pPr>
              <w:widowControl/>
              <w:spacing w:line="400" w:lineRule="exact"/>
              <w:jc w:val="center"/>
              <w:rPr>
                <w:rFonts w:hint="default"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lang w:bidi="ar"/>
              </w:rPr>
              <w:t>序</w:t>
            </w:r>
          </w:p>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号</w:t>
            </w:r>
          </w:p>
        </w:tc>
        <w:tc>
          <w:tcPr>
            <w:tcW w:w="1532"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工坊名称</w:t>
            </w:r>
          </w:p>
        </w:tc>
        <w:tc>
          <w:tcPr>
            <w:tcW w:w="1311"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eastAsia" w:ascii="Times New Roman" w:hAnsi="Times New Roman" w:eastAsia="仿宋" w:cs="Times New Roman"/>
                <w:b/>
                <w:bCs/>
                <w:color w:val="000000"/>
                <w:kern w:val="0"/>
                <w:sz w:val="24"/>
                <w:lang w:eastAsia="zh-CN" w:bidi="ar"/>
              </w:rPr>
              <w:t>所在地</w:t>
            </w:r>
          </w:p>
        </w:tc>
        <w:tc>
          <w:tcPr>
            <w:tcW w:w="789"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eastAsia" w:ascii="Times New Roman" w:hAnsi="Times New Roman" w:eastAsia="仿宋" w:cs="Times New Roman"/>
                <w:b/>
                <w:bCs/>
                <w:color w:val="000000"/>
                <w:kern w:val="0"/>
                <w:sz w:val="24"/>
                <w:lang w:eastAsia="zh-CN" w:bidi="ar"/>
              </w:rPr>
              <w:t>批准认定</w:t>
            </w:r>
            <w:r>
              <w:rPr>
                <w:rFonts w:hint="default" w:ascii="Times New Roman" w:hAnsi="Times New Roman" w:eastAsia="仿宋" w:cs="Times New Roman"/>
                <w:b/>
                <w:bCs/>
                <w:color w:val="000000"/>
                <w:kern w:val="0"/>
                <w:sz w:val="24"/>
                <w:lang w:bidi="ar"/>
              </w:rPr>
              <w:t>时间</w:t>
            </w:r>
          </w:p>
        </w:tc>
        <w:tc>
          <w:tcPr>
            <w:tcW w:w="1423"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val="en-US" w:eastAsia="zh-CN" w:bidi="ar"/>
              </w:rPr>
              <w:t>详细地址</w:t>
            </w:r>
          </w:p>
        </w:tc>
        <w:tc>
          <w:tcPr>
            <w:tcW w:w="1058"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val="en-US" w:eastAsia="zh-CN" w:bidi="ar"/>
              </w:rPr>
              <w:t>依托的非遗项目名称</w:t>
            </w:r>
          </w:p>
        </w:tc>
        <w:tc>
          <w:tcPr>
            <w:tcW w:w="941"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val="en-US" w:eastAsia="zh-CN" w:bidi="ar"/>
              </w:rPr>
              <w:t>依托的非遗项目级别</w:t>
            </w:r>
          </w:p>
        </w:tc>
        <w:tc>
          <w:tcPr>
            <w:tcW w:w="964"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eastAsia" w:ascii="Times New Roman" w:hAnsi="Times New Roman" w:eastAsia="仿宋" w:cs="Times New Roman"/>
                <w:b/>
                <w:bCs/>
                <w:color w:val="000000"/>
                <w:kern w:val="0"/>
                <w:sz w:val="24"/>
                <w:lang w:val="en-US" w:eastAsia="zh-CN" w:bidi="ar"/>
              </w:rPr>
              <w:t>主要销售方式</w:t>
            </w:r>
          </w:p>
        </w:tc>
        <w:tc>
          <w:tcPr>
            <w:tcW w:w="1208"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参与单位名称</w:t>
            </w:r>
          </w:p>
        </w:tc>
        <w:tc>
          <w:tcPr>
            <w:tcW w:w="1010"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推出的品牌</w:t>
            </w:r>
          </w:p>
        </w:tc>
        <w:tc>
          <w:tcPr>
            <w:tcW w:w="975"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员工</w:t>
            </w:r>
          </w:p>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人数</w:t>
            </w:r>
          </w:p>
        </w:tc>
        <w:tc>
          <w:tcPr>
            <w:tcW w:w="907"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联系人</w:t>
            </w:r>
          </w:p>
        </w:tc>
        <w:tc>
          <w:tcPr>
            <w:tcW w:w="780"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联系方式</w:t>
            </w:r>
          </w:p>
        </w:tc>
        <w:tc>
          <w:tcPr>
            <w:tcW w:w="948"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79"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53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1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9"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2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6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0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1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7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0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79"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53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1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9"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2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6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0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1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7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0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79"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3</w:t>
            </w:r>
          </w:p>
        </w:tc>
        <w:tc>
          <w:tcPr>
            <w:tcW w:w="153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1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9"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2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6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0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1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7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0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79"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4</w:t>
            </w:r>
          </w:p>
        </w:tc>
        <w:tc>
          <w:tcPr>
            <w:tcW w:w="153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1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9"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2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6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0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1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7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0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9"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5</w:t>
            </w:r>
          </w:p>
        </w:tc>
        <w:tc>
          <w:tcPr>
            <w:tcW w:w="153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1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9"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2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6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0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1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7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0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8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bl>
    <w:p>
      <w:pPr>
        <w:keepNext w:val="0"/>
        <w:keepLines w:val="0"/>
        <w:pageBreakBefore w:val="0"/>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sz w:val="21"/>
          <w:szCs w:val="24"/>
          <w:vertAlign w:val="baseline"/>
          <w:lang w:val="en-US" w:eastAsia="zh-CN"/>
        </w:rPr>
      </w:pPr>
      <w:r>
        <w:rPr>
          <w:rFonts w:hint="default" w:ascii="Times New Roman" w:hAnsi="Times New Roman" w:eastAsia="仿宋" w:cs="Times New Roman"/>
          <w:color w:val="000000"/>
          <w:kern w:val="0"/>
          <w:sz w:val="28"/>
          <w:szCs w:val="28"/>
          <w:lang w:bidi="ar"/>
        </w:rPr>
        <w:t>注：</w:t>
      </w:r>
      <w:r>
        <w:rPr>
          <w:rFonts w:hint="eastAsia" w:ascii="宋体" w:hAnsi="宋体" w:eastAsia="宋体" w:cs="宋体"/>
          <w:i w:val="0"/>
          <w:caps w:val="0"/>
          <w:spacing w:val="0"/>
          <w:kern w:val="2"/>
          <w:sz w:val="21"/>
          <w:szCs w:val="24"/>
          <w:shd w:val="clear" w:color="auto" w:fill="auto"/>
          <w:lang w:val="en-US" w:eastAsia="zh-CN" w:bidi="ar"/>
        </w:rPr>
        <w:t>1.</w:t>
      </w:r>
      <w:r>
        <w:rPr>
          <w:rFonts w:hint="eastAsia" w:ascii="宋体" w:hAnsi="宋体" w:eastAsia="宋体" w:cs="宋体"/>
          <w:sz w:val="21"/>
          <w:szCs w:val="24"/>
          <w:vertAlign w:val="baseline"/>
          <w:lang w:val="en-US" w:eastAsia="zh-CN"/>
        </w:rPr>
        <w:t>依托的非遗项目级别：国家级、省级、市级、县级；</w:t>
      </w:r>
    </w:p>
    <w:p>
      <w:pPr>
        <w:keepNext w:val="0"/>
        <w:keepLines w:val="0"/>
        <w:numPr>
          <w:ilvl w:val="0"/>
          <w:numId w:val="0"/>
        </w:numPr>
        <w:spacing w:line="400" w:lineRule="exact"/>
        <w:ind w:left="0" w:firstLine="630" w:firstLineChars="300"/>
        <w:jc w:val="left"/>
        <w:rPr>
          <w:rFonts w:hint="eastAsia" w:ascii="宋体" w:hAnsi="宋体" w:eastAsia="宋体" w:cs="宋体"/>
          <w:sz w:val="24"/>
          <w:lang w:val="en-US" w:eastAsia="zh-CN"/>
        </w:rPr>
      </w:pPr>
      <w:r>
        <w:rPr>
          <w:rFonts w:hint="eastAsia" w:ascii="宋体" w:hAnsi="宋体" w:eastAsia="宋体" w:cs="宋体"/>
          <w:sz w:val="21"/>
          <w:szCs w:val="24"/>
          <w:vertAlign w:val="baseline"/>
          <w:lang w:val="en-US" w:eastAsia="zh-CN"/>
        </w:rPr>
        <w:t>2.</w:t>
      </w:r>
      <w:r>
        <w:rPr>
          <w:rFonts w:hint="eastAsia" w:ascii="宋体" w:hAnsi="宋体" w:eastAsia="宋体" w:cs="宋体"/>
          <w:kern w:val="2"/>
          <w:sz w:val="21"/>
          <w:szCs w:val="24"/>
          <w:lang w:bidi="ar"/>
        </w:rPr>
        <w:t>此表可扩展</w:t>
      </w:r>
      <w:r>
        <w:rPr>
          <w:rFonts w:hint="eastAsia" w:ascii="宋体" w:hAnsi="宋体" w:cs="宋体"/>
          <w:kern w:val="2"/>
          <w:sz w:val="21"/>
          <w:szCs w:val="24"/>
          <w:lang w:eastAsia="zh-CN" w:bidi="ar"/>
        </w:rPr>
        <w:t>；</w:t>
      </w:r>
    </w:p>
    <w:p>
      <w:pPr>
        <w:keepNext w:val="0"/>
        <w:keepLines w:val="0"/>
        <w:pageBreakBefore w:val="0"/>
        <w:kinsoku/>
        <w:wordWrap/>
        <w:overflowPunct/>
        <w:topLinePunct w:val="0"/>
        <w:autoSpaceDE/>
        <w:autoSpaceDN/>
        <w:bidi w:val="0"/>
        <w:adjustRightInd/>
        <w:snapToGrid/>
        <w:spacing w:line="400" w:lineRule="exact"/>
        <w:ind w:firstLine="630" w:firstLineChars="300"/>
        <w:jc w:val="left"/>
        <w:textAlignment w:val="auto"/>
        <w:rPr>
          <w:rFonts w:hint="default" w:ascii="Times New Roman" w:hAnsi="Times New Roman" w:eastAsia="仿宋_GB2312" w:cs="Times New Roman"/>
          <w:sz w:val="24"/>
          <w:szCs w:val="24"/>
          <w:vertAlign w:val="baseline"/>
          <w:lang w:val="en-US" w:eastAsia="zh-CN"/>
        </w:rPr>
      </w:pPr>
      <w:r>
        <w:rPr>
          <w:rFonts w:hint="eastAsia" w:ascii="宋体" w:hAnsi="宋体" w:eastAsia="宋体" w:cs="宋体"/>
          <w:sz w:val="21"/>
          <w:szCs w:val="21"/>
          <w:vertAlign w:val="baseline"/>
          <w:lang w:val="en-US" w:eastAsia="zh-CN"/>
        </w:rPr>
        <w:t>3.</w:t>
      </w:r>
      <w:r>
        <w:rPr>
          <w:rFonts w:hint="eastAsia" w:ascii="宋体" w:hAnsi="宋体" w:eastAsia="宋体" w:cs="宋体"/>
          <w:lang w:eastAsia="zh-CN"/>
        </w:rPr>
        <w:t>由各市（州）文化和旅游部门汇总，于每年</w:t>
      </w:r>
      <w:r>
        <w:rPr>
          <w:rFonts w:hint="eastAsia" w:ascii="宋体" w:hAnsi="宋体" w:eastAsia="宋体" w:cs="宋体"/>
          <w:lang w:val="en-US" w:eastAsia="zh-CN"/>
        </w:rPr>
        <w:t>11月30日前报送省文化和旅游厅。</w:t>
      </w:r>
    </w:p>
    <w:p>
      <w:pPr>
        <w:spacing w:line="560" w:lineRule="exact"/>
        <w:rPr>
          <w:rFonts w:hint="default" w:ascii="Times New Roman" w:hAnsi="Times New Roman" w:eastAsia="黑体" w:cs="Times New Roman"/>
          <w:color w:val="000000"/>
          <w:sz w:val="32"/>
          <w:szCs w:val="32"/>
        </w:rPr>
      </w:pPr>
    </w:p>
    <w:p>
      <w:pPr>
        <w:spacing w:line="560"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3</w:t>
      </w:r>
    </w:p>
    <w:p>
      <w:pPr>
        <w:spacing w:line="560" w:lineRule="exact"/>
        <w:rPr>
          <w:rFonts w:hint="default" w:ascii="Times New Roman" w:hAnsi="Times New Roman" w:eastAsia="方正小标宋简体" w:cs="Times New Roman"/>
          <w:color w:val="000000"/>
          <w:kern w:val="0"/>
          <w:sz w:val="44"/>
          <w:szCs w:val="44"/>
          <w:lang w:eastAsia="zh-CN" w:bidi="ar"/>
        </w:rPr>
      </w:pPr>
    </w:p>
    <w:p>
      <w:pPr>
        <w:spacing w:line="560" w:lineRule="exact"/>
        <w:jc w:val="center"/>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color w:val="000000"/>
          <w:kern w:val="0"/>
          <w:sz w:val="44"/>
          <w:szCs w:val="44"/>
          <w:lang w:eastAsia="zh-CN" w:bidi="ar"/>
        </w:rPr>
        <w:t>贵州</w:t>
      </w:r>
      <w:r>
        <w:rPr>
          <w:rFonts w:hint="default" w:ascii="Times New Roman" w:hAnsi="Times New Roman" w:eastAsia="方正小标宋简体" w:cs="Times New Roman"/>
          <w:color w:val="000000"/>
          <w:kern w:val="0"/>
          <w:sz w:val="44"/>
          <w:szCs w:val="44"/>
          <w:lang w:bidi="ar"/>
        </w:rPr>
        <w:t>省非遗工坊</w:t>
      </w:r>
      <w:r>
        <w:rPr>
          <w:rFonts w:hint="default" w:ascii="Times New Roman" w:hAnsi="Times New Roman" w:eastAsia="方正小标宋简体" w:cs="Times New Roman"/>
          <w:color w:val="000000"/>
          <w:kern w:val="0"/>
          <w:sz w:val="44"/>
          <w:szCs w:val="44"/>
          <w:lang w:eastAsia="zh-CN" w:bidi="ar"/>
        </w:rPr>
        <w:t>助力乡村振兴情况</w:t>
      </w:r>
      <w:r>
        <w:rPr>
          <w:rFonts w:hint="default" w:ascii="Times New Roman" w:hAnsi="Times New Roman" w:eastAsia="方正小标宋简体" w:cs="Times New Roman"/>
          <w:color w:val="000000"/>
          <w:kern w:val="0"/>
          <w:sz w:val="44"/>
          <w:szCs w:val="44"/>
          <w:lang w:bidi="ar"/>
        </w:rPr>
        <w:t>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kern w:val="0"/>
          <w:sz w:val="24"/>
          <w:szCs w:val="24"/>
          <w:lang w:eastAsia="zh-CN" w:bidi="ar"/>
        </w:rPr>
      </w:pPr>
    </w:p>
    <w:p>
      <w:pPr>
        <w:spacing w:line="560" w:lineRule="exact"/>
        <w:jc w:val="both"/>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填报</w:t>
      </w:r>
      <w:r>
        <w:rPr>
          <w:rFonts w:hint="default" w:ascii="Times New Roman" w:hAnsi="Times New Roman" w:eastAsia="仿宋_GB2312" w:cs="Times New Roman"/>
          <w:color w:val="000000"/>
          <w:kern w:val="0"/>
          <w:sz w:val="24"/>
          <w:szCs w:val="24"/>
          <w:lang w:bidi="ar"/>
        </w:rPr>
        <w:t xml:space="preserve">单位（盖章）： </w:t>
      </w:r>
      <w:r>
        <w:rPr>
          <w:rFonts w:hint="default" w:ascii="Times New Roman" w:hAnsi="Times New Roman" w:eastAsia="仿宋_GB2312" w:cs="Times New Roman"/>
          <w:color w:val="000000"/>
          <w:kern w:val="0"/>
          <w:sz w:val="24"/>
          <w:szCs w:val="24"/>
          <w:lang w:val="en-US" w:eastAsia="zh-CN" w:bidi="ar"/>
        </w:rPr>
        <w:t xml:space="preserve">                   填报人：              联系电话               填报时间：    </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 </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月 </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日 </w:t>
      </w:r>
    </w:p>
    <w:tbl>
      <w:tblPr>
        <w:tblStyle w:val="11"/>
        <w:tblW w:w="14694"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03"/>
        <w:gridCol w:w="1250"/>
        <w:gridCol w:w="871"/>
        <w:gridCol w:w="741"/>
        <w:gridCol w:w="741"/>
        <w:gridCol w:w="1000"/>
        <w:gridCol w:w="1212"/>
        <w:gridCol w:w="1261"/>
        <w:gridCol w:w="812"/>
        <w:gridCol w:w="1024"/>
        <w:gridCol w:w="1000"/>
        <w:gridCol w:w="941"/>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70"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lang w:bidi="ar"/>
              </w:rPr>
              <w:t>序</w:t>
            </w:r>
          </w:p>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号</w:t>
            </w:r>
          </w:p>
        </w:tc>
        <w:tc>
          <w:tcPr>
            <w:tcW w:w="1503"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工坊名称</w:t>
            </w:r>
          </w:p>
        </w:tc>
        <w:tc>
          <w:tcPr>
            <w:tcW w:w="1250"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所在地:国贫县/或省贫县</w:t>
            </w:r>
          </w:p>
        </w:tc>
        <w:tc>
          <w:tcPr>
            <w:tcW w:w="871"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eastAsia="zh-CN" w:bidi="ar"/>
              </w:rPr>
              <w:t>年产值（万元）</w:t>
            </w:r>
          </w:p>
        </w:tc>
        <w:tc>
          <w:tcPr>
            <w:tcW w:w="741"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eastAsia="zh-CN" w:bidi="ar"/>
              </w:rPr>
              <w:t>产品</w:t>
            </w:r>
          </w:p>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eastAsia="zh-CN" w:bidi="ar"/>
              </w:rPr>
              <w:t>种类</w:t>
            </w:r>
          </w:p>
        </w:tc>
        <w:tc>
          <w:tcPr>
            <w:tcW w:w="741"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eastAsia="zh-CN" w:bidi="ar"/>
              </w:rPr>
              <w:t>销售渠道</w:t>
            </w:r>
          </w:p>
        </w:tc>
        <w:tc>
          <w:tcPr>
            <w:tcW w:w="3473" w:type="dxa"/>
            <w:gridSpan w:val="3"/>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eastAsia="zh-CN" w:bidi="ar"/>
              </w:rPr>
              <w:t>吸纳就业人数（人）</w:t>
            </w:r>
          </w:p>
        </w:tc>
        <w:tc>
          <w:tcPr>
            <w:tcW w:w="1836" w:type="dxa"/>
            <w:gridSpan w:val="2"/>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eastAsia="zh-CN" w:bidi="ar"/>
              </w:rPr>
              <w:t>用工类型</w:t>
            </w:r>
          </w:p>
        </w:tc>
        <w:tc>
          <w:tcPr>
            <w:tcW w:w="1000"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eastAsia="zh-CN" w:bidi="ar"/>
              </w:rPr>
              <w:t>员工平均工资</w:t>
            </w:r>
          </w:p>
        </w:tc>
        <w:tc>
          <w:tcPr>
            <w:tcW w:w="941"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培训</w:t>
            </w:r>
          </w:p>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次数</w:t>
            </w:r>
          </w:p>
        </w:tc>
        <w:tc>
          <w:tcPr>
            <w:tcW w:w="934"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eastAsia="zh-CN" w:bidi="ar"/>
              </w:rPr>
              <w:t>工坊开展培训的人数</w:t>
            </w:r>
          </w:p>
        </w:tc>
        <w:tc>
          <w:tcPr>
            <w:tcW w:w="934" w:type="dxa"/>
            <w:vMerge w:val="restart"/>
            <w:noWrap w:val="0"/>
            <w:vAlign w:val="center"/>
          </w:tcPr>
          <w:p>
            <w:pPr>
              <w:widowControl/>
              <w:spacing w:line="400" w:lineRule="exact"/>
              <w:jc w:val="center"/>
              <w:rPr>
                <w:rFonts w:hint="default" w:ascii="Times New Roman" w:hAnsi="Times New Roman" w:eastAsia="仿宋" w:cs="Times New Roman"/>
                <w:b/>
                <w:bCs/>
                <w:color w:val="000000"/>
                <w:kern w:val="0"/>
                <w:sz w:val="24"/>
                <w:lang w:val="en" w:eastAsia="zh-CN" w:bidi="ar"/>
              </w:rPr>
            </w:pPr>
            <w:r>
              <w:rPr>
                <w:rFonts w:hint="default" w:ascii="Times New Roman" w:hAnsi="Times New Roman" w:eastAsia="仿宋" w:cs="Times New Roman"/>
                <w:b/>
                <w:bCs/>
                <w:color w:val="000000"/>
                <w:kern w:val="0"/>
                <w:sz w:val="24"/>
                <w:lang w:val="en"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0" w:type="dxa"/>
            <w:vMerge w:val="continue"/>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p>
        </w:tc>
        <w:tc>
          <w:tcPr>
            <w:tcW w:w="1503" w:type="dxa"/>
            <w:vMerge w:val="continue"/>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p>
        </w:tc>
        <w:tc>
          <w:tcPr>
            <w:tcW w:w="1250" w:type="dxa"/>
            <w:vMerge w:val="continue"/>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p>
        </w:tc>
        <w:tc>
          <w:tcPr>
            <w:tcW w:w="871" w:type="dxa"/>
            <w:vMerge w:val="continue"/>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p>
        </w:tc>
        <w:tc>
          <w:tcPr>
            <w:tcW w:w="741" w:type="dxa"/>
            <w:vMerge w:val="continue"/>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p>
        </w:tc>
        <w:tc>
          <w:tcPr>
            <w:tcW w:w="741" w:type="dxa"/>
            <w:vMerge w:val="continue"/>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p>
        </w:tc>
        <w:tc>
          <w:tcPr>
            <w:tcW w:w="1000"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val="en-US" w:eastAsia="zh-CN" w:bidi="ar"/>
              </w:rPr>
              <w:t>脱贫劳动力</w:t>
            </w:r>
          </w:p>
        </w:tc>
        <w:tc>
          <w:tcPr>
            <w:tcW w:w="1212"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val="en-US" w:eastAsia="zh-CN" w:bidi="ar"/>
              </w:rPr>
              <w:t>易地搬迁劳动力</w:t>
            </w:r>
          </w:p>
        </w:tc>
        <w:tc>
          <w:tcPr>
            <w:tcW w:w="1261"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val="en-US" w:eastAsia="zh-CN" w:bidi="ar"/>
              </w:rPr>
              <w:t>农村低收入劳动力</w:t>
            </w:r>
          </w:p>
        </w:tc>
        <w:tc>
          <w:tcPr>
            <w:tcW w:w="812"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val="en-US" w:eastAsia="zh-CN" w:bidi="ar"/>
              </w:rPr>
              <w:t>订单用工</w:t>
            </w:r>
          </w:p>
        </w:tc>
        <w:tc>
          <w:tcPr>
            <w:tcW w:w="1024"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val="en-US" w:eastAsia="zh-CN" w:bidi="ar"/>
              </w:rPr>
              <w:t>合同制用工</w:t>
            </w:r>
          </w:p>
        </w:tc>
        <w:tc>
          <w:tcPr>
            <w:tcW w:w="1000" w:type="dxa"/>
            <w:vMerge w:val="continue"/>
            <w:noWrap w:val="0"/>
            <w:vAlign w:val="center"/>
          </w:tcPr>
          <w:p>
            <w:pPr>
              <w:jc w:val="center"/>
              <w:rPr>
                <w:rFonts w:hint="default" w:ascii="Times New Roman" w:hAnsi="Times New Roman" w:eastAsia="仿宋_GB2312" w:cs="Times New Roman"/>
                <w:sz w:val="24"/>
                <w:szCs w:val="24"/>
                <w:vertAlign w:val="baseline"/>
                <w:lang w:eastAsia="zh-CN"/>
              </w:rPr>
            </w:pPr>
          </w:p>
        </w:tc>
        <w:tc>
          <w:tcPr>
            <w:tcW w:w="941" w:type="dxa"/>
            <w:vMerge w:val="continue"/>
            <w:noWrap w:val="0"/>
            <w:vAlign w:val="center"/>
          </w:tcPr>
          <w:p>
            <w:pPr>
              <w:jc w:val="center"/>
              <w:rPr>
                <w:rFonts w:hint="default" w:ascii="Times New Roman" w:hAnsi="Times New Roman" w:eastAsia="仿宋_GB2312" w:cs="Times New Roman"/>
                <w:sz w:val="24"/>
                <w:szCs w:val="24"/>
                <w:vertAlign w:val="baseline"/>
                <w:lang w:eastAsia="zh-CN"/>
              </w:rPr>
            </w:pPr>
          </w:p>
        </w:tc>
        <w:tc>
          <w:tcPr>
            <w:tcW w:w="934" w:type="dxa"/>
            <w:vMerge w:val="continue"/>
            <w:noWrap w:val="0"/>
            <w:vAlign w:val="center"/>
          </w:tcPr>
          <w:p>
            <w:pPr>
              <w:jc w:val="center"/>
              <w:rPr>
                <w:rFonts w:hint="default" w:ascii="Times New Roman" w:hAnsi="Times New Roman" w:eastAsia="仿宋_GB2312" w:cs="Times New Roman"/>
                <w:sz w:val="24"/>
                <w:szCs w:val="24"/>
                <w:vertAlign w:val="baseline"/>
                <w:lang w:val="en" w:eastAsia="zh-CN"/>
              </w:rPr>
            </w:pPr>
          </w:p>
        </w:tc>
        <w:tc>
          <w:tcPr>
            <w:tcW w:w="934" w:type="dxa"/>
            <w:vMerge w:val="continue"/>
            <w:noWrap w:val="0"/>
            <w:vAlign w:val="center"/>
          </w:tcPr>
          <w:p>
            <w:pPr>
              <w:jc w:val="center"/>
              <w:rPr>
                <w:rFonts w:hint="default" w:ascii="Times New Roman" w:hAnsi="Times New Roman" w:eastAsia="仿宋_GB2312" w:cs="Times New Roman"/>
                <w:sz w:val="24"/>
                <w:szCs w:val="24"/>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50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7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6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50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7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6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3</w:t>
            </w:r>
          </w:p>
        </w:tc>
        <w:tc>
          <w:tcPr>
            <w:tcW w:w="150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7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6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4</w:t>
            </w:r>
          </w:p>
        </w:tc>
        <w:tc>
          <w:tcPr>
            <w:tcW w:w="150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7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6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5</w:t>
            </w:r>
          </w:p>
        </w:tc>
        <w:tc>
          <w:tcPr>
            <w:tcW w:w="1503"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7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6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41"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934"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bl>
    <w:p>
      <w:pPr>
        <w:spacing w:line="400" w:lineRule="exact"/>
        <w:rPr>
          <w:rFonts w:hint="default" w:ascii="Times New Roman" w:hAnsi="Times New Roman" w:eastAsia="黑体" w:cs="Times New Roman"/>
          <w:color w:val="000000"/>
          <w:sz w:val="32"/>
          <w:szCs w:val="32"/>
        </w:rPr>
      </w:pPr>
      <w:r>
        <w:rPr>
          <w:rFonts w:hint="eastAsia" w:ascii="Times New Roman" w:hAnsi="Times New Roman" w:cs="Times New Roman"/>
          <w:lang w:eastAsia="zh-CN"/>
        </w:rPr>
        <w:t>注：</w:t>
      </w:r>
      <w:r>
        <w:rPr>
          <w:rFonts w:hint="eastAsia" w:ascii="宋体" w:hAnsi="宋体" w:eastAsia="宋体" w:cs="宋体"/>
          <w:lang w:val="en-US" w:eastAsia="zh-CN"/>
        </w:rPr>
        <w:t>1.</w:t>
      </w:r>
      <w:r>
        <w:rPr>
          <w:rFonts w:hint="eastAsia" w:ascii="Times New Roman" w:hAnsi="Times New Roman" w:cs="Times New Roman"/>
          <w:lang w:eastAsia="zh-CN"/>
        </w:rPr>
        <w:t>由各市（州）文化和旅游部门汇总，于每年</w:t>
      </w:r>
      <w:r>
        <w:rPr>
          <w:rFonts w:hint="eastAsia" w:ascii="Times New Roman" w:hAnsi="Times New Roman" w:cs="Times New Roman"/>
          <w:lang w:val="en-US" w:eastAsia="zh-CN"/>
        </w:rPr>
        <w:t>11月30日前报送省文化和旅游厅；</w:t>
      </w:r>
    </w:p>
    <w:p>
      <w:pPr>
        <w:spacing w:line="400" w:lineRule="exact"/>
        <w:rPr>
          <w:rFonts w:hint="default"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2.吸纳就业人数一栏，假如一个人涉及多重身份的，请在备注栏说明清楚，有多少人涉及多重身份。</w:t>
      </w:r>
    </w:p>
    <w:p>
      <w:pPr>
        <w:spacing w:line="560" w:lineRule="exact"/>
        <w:rPr>
          <w:rFonts w:hint="default" w:ascii="Times New Roman" w:hAnsi="Times New Roman" w:eastAsia="黑体" w:cs="Times New Roman"/>
          <w:color w:val="000000"/>
          <w:sz w:val="32"/>
          <w:szCs w:val="32"/>
        </w:rPr>
      </w:pPr>
    </w:p>
    <w:p>
      <w:pPr>
        <w:spacing w:line="560"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4</w:t>
      </w:r>
    </w:p>
    <w:p>
      <w:pPr>
        <w:spacing w:line="560" w:lineRule="exact"/>
        <w:rPr>
          <w:rFonts w:hint="default" w:ascii="Times New Roman" w:hAnsi="Times New Roman" w:eastAsia="方正小标宋简体" w:cs="Times New Roman"/>
          <w:color w:val="000000"/>
          <w:kern w:val="0"/>
          <w:sz w:val="44"/>
          <w:szCs w:val="44"/>
          <w:lang w:eastAsia="zh-CN" w:bidi="ar"/>
        </w:rPr>
      </w:pPr>
    </w:p>
    <w:p>
      <w:pPr>
        <w:spacing w:line="560" w:lineRule="exact"/>
        <w:jc w:val="center"/>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color w:val="000000"/>
          <w:kern w:val="0"/>
          <w:sz w:val="44"/>
          <w:szCs w:val="44"/>
          <w:lang w:eastAsia="zh-CN" w:bidi="ar"/>
        </w:rPr>
        <w:t>贵州</w:t>
      </w:r>
      <w:r>
        <w:rPr>
          <w:rFonts w:hint="default" w:ascii="Times New Roman" w:hAnsi="Times New Roman" w:eastAsia="方正小标宋简体" w:cs="Times New Roman"/>
          <w:color w:val="000000"/>
          <w:kern w:val="0"/>
          <w:sz w:val="44"/>
          <w:szCs w:val="44"/>
          <w:lang w:bidi="ar"/>
        </w:rPr>
        <w:t>省非遗工坊</w:t>
      </w:r>
      <w:r>
        <w:rPr>
          <w:rFonts w:hint="default" w:ascii="Times New Roman" w:hAnsi="Times New Roman" w:eastAsia="方正小标宋简体" w:cs="Times New Roman"/>
          <w:color w:val="000000"/>
          <w:kern w:val="0"/>
          <w:sz w:val="44"/>
          <w:szCs w:val="44"/>
          <w:lang w:eastAsia="zh-CN" w:bidi="ar"/>
        </w:rPr>
        <w:t>产品名录</w:t>
      </w:r>
    </w:p>
    <w:p>
      <w:pPr>
        <w:spacing w:line="560" w:lineRule="exact"/>
        <w:jc w:val="both"/>
        <w:rPr>
          <w:rFonts w:hint="default" w:ascii="Times New Roman" w:hAnsi="Times New Roman" w:eastAsia="仿宋_GB2312" w:cs="Times New Roman"/>
          <w:color w:val="000000"/>
          <w:kern w:val="0"/>
          <w:sz w:val="24"/>
          <w:szCs w:val="24"/>
          <w:lang w:eastAsia="zh-CN" w:bidi="ar"/>
        </w:rPr>
      </w:pPr>
    </w:p>
    <w:p>
      <w:pPr>
        <w:spacing w:line="560" w:lineRule="exact"/>
        <w:jc w:val="both"/>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填报</w:t>
      </w:r>
      <w:r>
        <w:rPr>
          <w:rFonts w:hint="default" w:ascii="Times New Roman" w:hAnsi="Times New Roman" w:eastAsia="仿宋_GB2312" w:cs="Times New Roman"/>
          <w:color w:val="000000"/>
          <w:kern w:val="0"/>
          <w:sz w:val="24"/>
          <w:szCs w:val="24"/>
          <w:lang w:bidi="ar"/>
        </w:rPr>
        <w:t xml:space="preserve">单位（盖章）： </w:t>
      </w:r>
      <w:r>
        <w:rPr>
          <w:rFonts w:hint="default" w:ascii="Times New Roman" w:hAnsi="Times New Roman" w:eastAsia="仿宋_GB2312" w:cs="Times New Roman"/>
          <w:color w:val="000000"/>
          <w:kern w:val="0"/>
          <w:sz w:val="24"/>
          <w:szCs w:val="24"/>
          <w:lang w:val="en-US" w:eastAsia="zh-CN" w:bidi="ar"/>
        </w:rPr>
        <w:t xml:space="preserve">                   填报人：              联系电话               填报时间：    </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 </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月 </w:t>
      </w:r>
      <w:r>
        <w:rPr>
          <w:rFonts w:hint="default" w:ascii="Times New Roman" w:hAnsi="Times New Roman" w:eastAsia="仿宋_GB2312" w:cs="Times New Roman"/>
          <w:color w:val="000000"/>
          <w:kern w:val="0"/>
          <w:sz w:val="24"/>
          <w:szCs w:val="24"/>
          <w:lang w:val="en-US" w:eastAsia="zh-CN" w:bidi="ar"/>
        </w:rPr>
        <w:t xml:space="preserve">  </w:t>
      </w:r>
      <w:r>
        <w:rPr>
          <w:rFonts w:hint="default" w:ascii="Times New Roman" w:hAnsi="Times New Roman" w:eastAsia="仿宋_GB2312" w:cs="Times New Roman"/>
          <w:color w:val="000000"/>
          <w:kern w:val="0"/>
          <w:sz w:val="24"/>
          <w:szCs w:val="24"/>
          <w:lang w:bidi="ar"/>
        </w:rPr>
        <w:t xml:space="preserve">日 </w:t>
      </w:r>
    </w:p>
    <w:tbl>
      <w:tblPr>
        <w:tblStyle w:val="11"/>
        <w:tblW w:w="13592"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372"/>
        <w:gridCol w:w="1535"/>
        <w:gridCol w:w="1378"/>
        <w:gridCol w:w="1525"/>
        <w:gridCol w:w="1412"/>
        <w:gridCol w:w="700"/>
        <w:gridCol w:w="1238"/>
        <w:gridCol w:w="1025"/>
        <w:gridCol w:w="1050"/>
        <w:gridCol w:w="105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70" w:type="dxa"/>
            <w:noWrap w:val="0"/>
            <w:vAlign w:val="center"/>
          </w:tcPr>
          <w:p>
            <w:pPr>
              <w:widowControl/>
              <w:spacing w:line="400" w:lineRule="exact"/>
              <w:jc w:val="center"/>
              <w:rPr>
                <w:rFonts w:hint="default"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lang w:bidi="ar"/>
              </w:rPr>
              <w:t>序</w:t>
            </w:r>
          </w:p>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bidi="ar"/>
              </w:rPr>
              <w:t>号</w:t>
            </w:r>
          </w:p>
        </w:tc>
        <w:tc>
          <w:tcPr>
            <w:tcW w:w="1372"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eastAsia="zh-CN" w:bidi="ar"/>
              </w:rPr>
              <w:t>产品名称</w:t>
            </w:r>
          </w:p>
        </w:tc>
        <w:tc>
          <w:tcPr>
            <w:tcW w:w="1535"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eastAsia="zh-CN" w:bidi="ar"/>
              </w:rPr>
              <w:t>工坊名称</w:t>
            </w:r>
          </w:p>
        </w:tc>
        <w:tc>
          <w:tcPr>
            <w:tcW w:w="1378"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bidi="ar"/>
              </w:rPr>
            </w:pPr>
            <w:r>
              <w:rPr>
                <w:rFonts w:hint="default" w:ascii="Times New Roman" w:hAnsi="Times New Roman" w:eastAsia="仿宋" w:cs="Times New Roman"/>
                <w:b/>
                <w:bCs/>
                <w:color w:val="000000"/>
                <w:kern w:val="0"/>
                <w:sz w:val="24"/>
                <w:lang w:val="en-US" w:eastAsia="zh-CN" w:bidi="ar"/>
              </w:rPr>
              <w:t>产品图片</w:t>
            </w:r>
          </w:p>
        </w:tc>
        <w:tc>
          <w:tcPr>
            <w:tcW w:w="1525"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eastAsia="zh-CN" w:bidi="ar"/>
              </w:rPr>
              <w:t>产品介绍</w:t>
            </w:r>
          </w:p>
        </w:tc>
        <w:tc>
          <w:tcPr>
            <w:tcW w:w="1412"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eastAsia="zh-CN" w:bidi="ar"/>
              </w:rPr>
              <w:t>主要材质</w:t>
            </w:r>
          </w:p>
        </w:tc>
        <w:tc>
          <w:tcPr>
            <w:tcW w:w="700"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eastAsia="zh-CN" w:bidi="ar"/>
              </w:rPr>
              <w:t>规格型号</w:t>
            </w:r>
          </w:p>
        </w:tc>
        <w:tc>
          <w:tcPr>
            <w:tcW w:w="1238"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eastAsia="zh-CN" w:bidi="ar"/>
              </w:rPr>
              <w:t>包装</w:t>
            </w:r>
            <w:r>
              <w:rPr>
                <w:rFonts w:hint="default" w:ascii="Times New Roman" w:hAnsi="Times New Roman" w:eastAsia="仿宋" w:cs="Times New Roman"/>
                <w:b/>
                <w:bCs/>
                <w:color w:val="000000"/>
                <w:kern w:val="0"/>
                <w:sz w:val="24"/>
                <w:lang w:val="en-US" w:eastAsia="zh-CN" w:bidi="ar"/>
              </w:rPr>
              <w:t>/件</w:t>
            </w:r>
          </w:p>
        </w:tc>
        <w:tc>
          <w:tcPr>
            <w:tcW w:w="1025"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US" w:eastAsia="zh-CN" w:bidi="ar"/>
              </w:rPr>
            </w:pPr>
            <w:r>
              <w:rPr>
                <w:rFonts w:hint="default" w:ascii="Times New Roman" w:hAnsi="Times New Roman" w:eastAsia="仿宋" w:cs="Times New Roman"/>
                <w:b/>
                <w:bCs/>
                <w:color w:val="000000"/>
                <w:kern w:val="0"/>
                <w:sz w:val="24"/>
                <w:lang w:eastAsia="zh-CN" w:bidi="ar"/>
              </w:rPr>
              <w:t>建议零售价</w:t>
            </w:r>
          </w:p>
        </w:tc>
        <w:tc>
          <w:tcPr>
            <w:tcW w:w="1050"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eastAsia="zh-CN" w:bidi="ar"/>
              </w:rPr>
            </w:pPr>
            <w:r>
              <w:rPr>
                <w:rFonts w:hint="default" w:ascii="Times New Roman" w:hAnsi="Times New Roman" w:eastAsia="仿宋" w:cs="Times New Roman"/>
                <w:b/>
                <w:bCs/>
                <w:color w:val="000000"/>
                <w:kern w:val="0"/>
                <w:sz w:val="24"/>
                <w:lang w:val="en" w:eastAsia="zh-CN" w:bidi="ar"/>
              </w:rPr>
              <w:t>产品销售范围</w:t>
            </w:r>
          </w:p>
        </w:tc>
        <w:tc>
          <w:tcPr>
            <w:tcW w:w="1050"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 w:eastAsia="zh-CN" w:bidi="ar"/>
              </w:rPr>
            </w:pPr>
            <w:r>
              <w:rPr>
                <w:rFonts w:hint="default" w:ascii="Times New Roman" w:hAnsi="Times New Roman" w:eastAsia="仿宋" w:cs="Times New Roman"/>
                <w:b/>
                <w:bCs/>
                <w:color w:val="000000"/>
                <w:kern w:val="0"/>
                <w:sz w:val="24"/>
                <w:lang w:eastAsia="zh-CN" w:bidi="ar"/>
              </w:rPr>
              <w:t>产品获奖情况</w:t>
            </w:r>
          </w:p>
        </w:tc>
        <w:tc>
          <w:tcPr>
            <w:tcW w:w="837" w:type="dxa"/>
            <w:noWrap w:val="0"/>
            <w:vAlign w:val="center"/>
          </w:tcPr>
          <w:p>
            <w:pPr>
              <w:widowControl/>
              <w:spacing w:line="400" w:lineRule="exact"/>
              <w:jc w:val="center"/>
              <w:rPr>
                <w:rFonts w:hint="default" w:ascii="Times New Roman" w:hAnsi="Times New Roman" w:eastAsia="仿宋" w:cs="Times New Roman"/>
                <w:b/>
                <w:bCs/>
                <w:color w:val="000000"/>
                <w:kern w:val="0"/>
                <w:sz w:val="24"/>
                <w:lang w:val="en" w:eastAsia="zh-CN" w:bidi="ar"/>
              </w:rPr>
            </w:pPr>
            <w:r>
              <w:rPr>
                <w:rFonts w:hint="default" w:ascii="Times New Roman" w:hAnsi="Times New Roman" w:eastAsia="仿宋" w:cs="Times New Roman"/>
                <w:b/>
                <w:bCs/>
                <w:color w:val="000000"/>
                <w:kern w:val="0"/>
                <w:sz w:val="24"/>
                <w:lang w:val="en"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37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3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7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3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3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37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3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7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3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3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3</w:t>
            </w:r>
          </w:p>
        </w:tc>
        <w:tc>
          <w:tcPr>
            <w:tcW w:w="137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3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7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3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3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4</w:t>
            </w:r>
          </w:p>
        </w:tc>
        <w:tc>
          <w:tcPr>
            <w:tcW w:w="137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3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7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3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3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0" w:type="dxa"/>
            <w:noWrap w:val="0"/>
            <w:vAlign w:val="top"/>
          </w:tcPr>
          <w:p>
            <w:pPr>
              <w:widowControl/>
              <w:spacing w:line="560" w:lineRule="exact"/>
              <w:jc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5</w:t>
            </w:r>
          </w:p>
        </w:tc>
        <w:tc>
          <w:tcPr>
            <w:tcW w:w="137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3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37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5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412"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70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238"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25"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1050"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c>
          <w:tcPr>
            <w:tcW w:w="837" w:type="dxa"/>
            <w:noWrap w:val="0"/>
            <w:vAlign w:val="top"/>
          </w:tcPr>
          <w:p>
            <w:pPr>
              <w:widowControl/>
              <w:spacing w:line="560" w:lineRule="exact"/>
              <w:jc w:val="left"/>
              <w:rPr>
                <w:rFonts w:hint="default" w:ascii="Times New Roman" w:hAnsi="Times New Roman" w:eastAsia="仿宋" w:cs="Times New Roman"/>
                <w:color w:val="000000"/>
                <w:kern w:val="0"/>
                <w:sz w:val="24"/>
                <w:lang w:bidi="ar"/>
              </w:rPr>
            </w:pPr>
          </w:p>
        </w:tc>
      </w:tr>
    </w:tbl>
    <w:p>
      <w:pPr>
        <w:spacing w:line="240" w:lineRule="auto"/>
        <w:rPr>
          <w:rFonts w:hint="default" w:ascii="Times New Roman" w:hAnsi="Times New Roman" w:eastAsia="黑体" w:cs="Times New Roman"/>
          <w:color w:val="000000"/>
          <w:sz w:val="32"/>
          <w:szCs w:val="32"/>
        </w:rPr>
      </w:pPr>
      <w:r>
        <w:rPr>
          <w:rFonts w:hint="eastAsia" w:ascii="Times New Roman" w:hAnsi="Times New Roman" w:cs="Times New Roman"/>
          <w:lang w:eastAsia="zh-CN"/>
        </w:rPr>
        <w:t>注：由各市（州）文化和旅游部门汇总，于每年</w:t>
      </w:r>
      <w:r>
        <w:rPr>
          <w:rFonts w:hint="eastAsia" w:ascii="Times New Roman" w:hAnsi="Times New Roman" w:cs="Times New Roman"/>
          <w:lang w:val="en-US" w:eastAsia="zh-CN"/>
        </w:rPr>
        <w:t>11月30日前报送省文化和旅游厅。</w:t>
      </w:r>
    </w:p>
    <w:p>
      <w:pPr>
        <w:pStyle w:val="2"/>
        <w:ind w:firstLine="8320" w:firstLineChars="2600"/>
        <w:rPr>
          <w:rFonts w:hint="default" w:ascii="Times New Roman" w:hAnsi="Times New Roman" w:eastAsia="仿宋_GB2312" w:cs="Times New Roman"/>
          <w:b w:val="0"/>
          <w:i w:val="0"/>
          <w:caps w:val="0"/>
          <w:color w:val="auto"/>
          <w:spacing w:val="0"/>
          <w:w w:val="100"/>
          <w:kern w:val="0"/>
          <w:sz w:val="32"/>
          <w:szCs w:val="32"/>
          <w:lang w:val="en-US" w:eastAsia="zh-CN"/>
        </w:rPr>
      </w:pPr>
    </w:p>
    <w:sectPr>
      <w:footerReference r:id="rId4" w:type="default"/>
      <w:pgSz w:w="16838" w:h="11906" w:orient="landscape"/>
      <w:pgMar w:top="1531" w:right="170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New Tai Lue">
    <w:panose1 w:val="020B0502040204020203"/>
    <w:charset w:val="00"/>
    <w:family w:val="auto"/>
    <w:pitch w:val="default"/>
    <w:sig w:usb0="00000003" w:usb1="00000000" w:usb2="8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rPr>
                      <w:t xml:space="preserve"> —</w:t>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4549"/>
    <w:rsid w:val="00141332"/>
    <w:rsid w:val="0044754F"/>
    <w:rsid w:val="00452773"/>
    <w:rsid w:val="00512493"/>
    <w:rsid w:val="008E4059"/>
    <w:rsid w:val="00963475"/>
    <w:rsid w:val="00C14776"/>
    <w:rsid w:val="014C5001"/>
    <w:rsid w:val="01685A23"/>
    <w:rsid w:val="017A4F2D"/>
    <w:rsid w:val="01BA475D"/>
    <w:rsid w:val="01BA67B8"/>
    <w:rsid w:val="02114230"/>
    <w:rsid w:val="023268D2"/>
    <w:rsid w:val="02661AF7"/>
    <w:rsid w:val="02D93073"/>
    <w:rsid w:val="02DE5F85"/>
    <w:rsid w:val="0314632D"/>
    <w:rsid w:val="03331F5B"/>
    <w:rsid w:val="038874D3"/>
    <w:rsid w:val="03A14724"/>
    <w:rsid w:val="03D609B4"/>
    <w:rsid w:val="03ED6E5C"/>
    <w:rsid w:val="04105785"/>
    <w:rsid w:val="04251DDA"/>
    <w:rsid w:val="042702C5"/>
    <w:rsid w:val="04306586"/>
    <w:rsid w:val="0434530F"/>
    <w:rsid w:val="04441FD0"/>
    <w:rsid w:val="045258C0"/>
    <w:rsid w:val="04DA4724"/>
    <w:rsid w:val="04E31108"/>
    <w:rsid w:val="051E2630"/>
    <w:rsid w:val="05307A0B"/>
    <w:rsid w:val="05980B4D"/>
    <w:rsid w:val="05EB498B"/>
    <w:rsid w:val="05FF38D2"/>
    <w:rsid w:val="06176F00"/>
    <w:rsid w:val="065832F5"/>
    <w:rsid w:val="067308A8"/>
    <w:rsid w:val="0686725A"/>
    <w:rsid w:val="068850B2"/>
    <w:rsid w:val="06A62225"/>
    <w:rsid w:val="06E544A6"/>
    <w:rsid w:val="07057412"/>
    <w:rsid w:val="071206F8"/>
    <w:rsid w:val="072144EC"/>
    <w:rsid w:val="07311DCC"/>
    <w:rsid w:val="078110AE"/>
    <w:rsid w:val="07D52851"/>
    <w:rsid w:val="07DF345C"/>
    <w:rsid w:val="07F7772F"/>
    <w:rsid w:val="08183071"/>
    <w:rsid w:val="081D4F32"/>
    <w:rsid w:val="08262864"/>
    <w:rsid w:val="08792BC2"/>
    <w:rsid w:val="08854DEE"/>
    <w:rsid w:val="08885FAB"/>
    <w:rsid w:val="089F5F17"/>
    <w:rsid w:val="08B2719D"/>
    <w:rsid w:val="08C45A8E"/>
    <w:rsid w:val="09631183"/>
    <w:rsid w:val="09982DAC"/>
    <w:rsid w:val="0A0C5DCC"/>
    <w:rsid w:val="0A514B65"/>
    <w:rsid w:val="0AA66178"/>
    <w:rsid w:val="0AD37579"/>
    <w:rsid w:val="0B0F5BC2"/>
    <w:rsid w:val="0B273836"/>
    <w:rsid w:val="0B6F67E8"/>
    <w:rsid w:val="0BE25D49"/>
    <w:rsid w:val="0C250F24"/>
    <w:rsid w:val="0C427E88"/>
    <w:rsid w:val="0C971C24"/>
    <w:rsid w:val="0CD55304"/>
    <w:rsid w:val="0D766FE3"/>
    <w:rsid w:val="0D7674A1"/>
    <w:rsid w:val="0D83357F"/>
    <w:rsid w:val="0D8C060D"/>
    <w:rsid w:val="0D936D42"/>
    <w:rsid w:val="0E1F2248"/>
    <w:rsid w:val="0E590D47"/>
    <w:rsid w:val="0E7B0710"/>
    <w:rsid w:val="0F114B0C"/>
    <w:rsid w:val="0F2B41BC"/>
    <w:rsid w:val="0F8F32C5"/>
    <w:rsid w:val="0F9C12DB"/>
    <w:rsid w:val="0FCB6E02"/>
    <w:rsid w:val="0FE6750E"/>
    <w:rsid w:val="0FEB1543"/>
    <w:rsid w:val="0FF81C86"/>
    <w:rsid w:val="1031202E"/>
    <w:rsid w:val="10531346"/>
    <w:rsid w:val="10533E99"/>
    <w:rsid w:val="10985CAD"/>
    <w:rsid w:val="10A64934"/>
    <w:rsid w:val="10B64DF8"/>
    <w:rsid w:val="10DE6C44"/>
    <w:rsid w:val="11321081"/>
    <w:rsid w:val="11373F23"/>
    <w:rsid w:val="11551A99"/>
    <w:rsid w:val="11707596"/>
    <w:rsid w:val="11870B59"/>
    <w:rsid w:val="11901F69"/>
    <w:rsid w:val="11CE6924"/>
    <w:rsid w:val="1276601B"/>
    <w:rsid w:val="12A95EEB"/>
    <w:rsid w:val="12AF1AF3"/>
    <w:rsid w:val="12BD40B8"/>
    <w:rsid w:val="12DA093B"/>
    <w:rsid w:val="138052F1"/>
    <w:rsid w:val="13A8663F"/>
    <w:rsid w:val="13A87656"/>
    <w:rsid w:val="13BA3E44"/>
    <w:rsid w:val="142121B9"/>
    <w:rsid w:val="142A7F3D"/>
    <w:rsid w:val="143D21D7"/>
    <w:rsid w:val="14585108"/>
    <w:rsid w:val="14710FBA"/>
    <w:rsid w:val="1489107B"/>
    <w:rsid w:val="1495724C"/>
    <w:rsid w:val="149E1EF7"/>
    <w:rsid w:val="14A770E2"/>
    <w:rsid w:val="1598332D"/>
    <w:rsid w:val="15AF04A6"/>
    <w:rsid w:val="15CF5919"/>
    <w:rsid w:val="15F5618A"/>
    <w:rsid w:val="16376094"/>
    <w:rsid w:val="16413CBF"/>
    <w:rsid w:val="174C04AC"/>
    <w:rsid w:val="17793100"/>
    <w:rsid w:val="179D1568"/>
    <w:rsid w:val="17A22608"/>
    <w:rsid w:val="17AF7C1A"/>
    <w:rsid w:val="17C02169"/>
    <w:rsid w:val="17C25759"/>
    <w:rsid w:val="17F53799"/>
    <w:rsid w:val="18050C8B"/>
    <w:rsid w:val="182F0AB6"/>
    <w:rsid w:val="183E543B"/>
    <w:rsid w:val="186E507B"/>
    <w:rsid w:val="192B71A6"/>
    <w:rsid w:val="1A2D7A9B"/>
    <w:rsid w:val="1A3D1F2A"/>
    <w:rsid w:val="1A4E3D16"/>
    <w:rsid w:val="1A525400"/>
    <w:rsid w:val="1A5A4741"/>
    <w:rsid w:val="1A7941B3"/>
    <w:rsid w:val="1AC079A7"/>
    <w:rsid w:val="1ACE79E7"/>
    <w:rsid w:val="1AEC46F4"/>
    <w:rsid w:val="1AF0160C"/>
    <w:rsid w:val="1B251F27"/>
    <w:rsid w:val="1B966D7A"/>
    <w:rsid w:val="1B9A0118"/>
    <w:rsid w:val="1BC01814"/>
    <w:rsid w:val="1BC50056"/>
    <w:rsid w:val="1C0B64DC"/>
    <w:rsid w:val="1C2848C5"/>
    <w:rsid w:val="1C617DC9"/>
    <w:rsid w:val="1CB04B9B"/>
    <w:rsid w:val="1CD5762F"/>
    <w:rsid w:val="1D15569E"/>
    <w:rsid w:val="1D1E0A93"/>
    <w:rsid w:val="1D3060CE"/>
    <w:rsid w:val="1D986A0E"/>
    <w:rsid w:val="1DCF403B"/>
    <w:rsid w:val="1DD05EAC"/>
    <w:rsid w:val="1DD64B4B"/>
    <w:rsid w:val="1E240748"/>
    <w:rsid w:val="1E277E74"/>
    <w:rsid w:val="1E2A3459"/>
    <w:rsid w:val="1EBD6466"/>
    <w:rsid w:val="1EC71093"/>
    <w:rsid w:val="1ECD7948"/>
    <w:rsid w:val="1EE549F7"/>
    <w:rsid w:val="1F0F383D"/>
    <w:rsid w:val="1F272C82"/>
    <w:rsid w:val="1F922E94"/>
    <w:rsid w:val="1F9B66A6"/>
    <w:rsid w:val="1FBB2229"/>
    <w:rsid w:val="202236A7"/>
    <w:rsid w:val="20275E8A"/>
    <w:rsid w:val="2058585B"/>
    <w:rsid w:val="205D2EF9"/>
    <w:rsid w:val="207C3DDE"/>
    <w:rsid w:val="20A82908"/>
    <w:rsid w:val="20DC7EF8"/>
    <w:rsid w:val="20EC58BE"/>
    <w:rsid w:val="20F22267"/>
    <w:rsid w:val="20F8501C"/>
    <w:rsid w:val="20FA309E"/>
    <w:rsid w:val="211269A7"/>
    <w:rsid w:val="212A1635"/>
    <w:rsid w:val="213A3593"/>
    <w:rsid w:val="213B7824"/>
    <w:rsid w:val="21504788"/>
    <w:rsid w:val="21AE686F"/>
    <w:rsid w:val="22030488"/>
    <w:rsid w:val="22134F89"/>
    <w:rsid w:val="2234182A"/>
    <w:rsid w:val="224737F8"/>
    <w:rsid w:val="225C75B7"/>
    <w:rsid w:val="228948AE"/>
    <w:rsid w:val="22977D51"/>
    <w:rsid w:val="22C32C69"/>
    <w:rsid w:val="22F119B2"/>
    <w:rsid w:val="23010EDA"/>
    <w:rsid w:val="23206BF0"/>
    <w:rsid w:val="236F0B6D"/>
    <w:rsid w:val="240E7C5B"/>
    <w:rsid w:val="244147F5"/>
    <w:rsid w:val="244F51A8"/>
    <w:rsid w:val="24627A48"/>
    <w:rsid w:val="24746D29"/>
    <w:rsid w:val="25021009"/>
    <w:rsid w:val="25033EBB"/>
    <w:rsid w:val="2527179F"/>
    <w:rsid w:val="253215ED"/>
    <w:rsid w:val="25384914"/>
    <w:rsid w:val="25443711"/>
    <w:rsid w:val="25C8237E"/>
    <w:rsid w:val="25D250B9"/>
    <w:rsid w:val="25E64169"/>
    <w:rsid w:val="261C72A3"/>
    <w:rsid w:val="264B2FD7"/>
    <w:rsid w:val="265E6E88"/>
    <w:rsid w:val="26793ABD"/>
    <w:rsid w:val="26A21C44"/>
    <w:rsid w:val="26CE2793"/>
    <w:rsid w:val="27F14637"/>
    <w:rsid w:val="27F937A4"/>
    <w:rsid w:val="28654D29"/>
    <w:rsid w:val="287A55DB"/>
    <w:rsid w:val="28C460C8"/>
    <w:rsid w:val="28DC121E"/>
    <w:rsid w:val="29075B4C"/>
    <w:rsid w:val="2920303B"/>
    <w:rsid w:val="297C3BB7"/>
    <w:rsid w:val="29D94141"/>
    <w:rsid w:val="2A090BD0"/>
    <w:rsid w:val="2A466B66"/>
    <w:rsid w:val="2A6042A1"/>
    <w:rsid w:val="2AA42569"/>
    <w:rsid w:val="2AB82838"/>
    <w:rsid w:val="2B00261D"/>
    <w:rsid w:val="2B25745A"/>
    <w:rsid w:val="2B382BDE"/>
    <w:rsid w:val="2B7E5ECE"/>
    <w:rsid w:val="2BA77E5F"/>
    <w:rsid w:val="2BC975B0"/>
    <w:rsid w:val="2BD729B6"/>
    <w:rsid w:val="2BE46E2D"/>
    <w:rsid w:val="2BFF7F73"/>
    <w:rsid w:val="2C5F12DF"/>
    <w:rsid w:val="2CA84D0F"/>
    <w:rsid w:val="2CD33765"/>
    <w:rsid w:val="2CFF7880"/>
    <w:rsid w:val="2D165103"/>
    <w:rsid w:val="2D1E6650"/>
    <w:rsid w:val="2D2A0A74"/>
    <w:rsid w:val="2D63625E"/>
    <w:rsid w:val="2D6E132E"/>
    <w:rsid w:val="2D7010A5"/>
    <w:rsid w:val="2D9A3C12"/>
    <w:rsid w:val="2DAD5C1E"/>
    <w:rsid w:val="2DBE1A7D"/>
    <w:rsid w:val="2E02318D"/>
    <w:rsid w:val="2E042062"/>
    <w:rsid w:val="2E1577C0"/>
    <w:rsid w:val="2E4C07E4"/>
    <w:rsid w:val="2E5B7451"/>
    <w:rsid w:val="2E5C6ECE"/>
    <w:rsid w:val="2E8B4FF5"/>
    <w:rsid w:val="2E9E2185"/>
    <w:rsid w:val="2EC33DCA"/>
    <w:rsid w:val="2EDA2BF1"/>
    <w:rsid w:val="2EEF5B2B"/>
    <w:rsid w:val="2EF73C8C"/>
    <w:rsid w:val="2F0B33B2"/>
    <w:rsid w:val="2F340A72"/>
    <w:rsid w:val="2F377175"/>
    <w:rsid w:val="2F4E5AF7"/>
    <w:rsid w:val="2FC205EF"/>
    <w:rsid w:val="2FEF3578"/>
    <w:rsid w:val="2FFC2AD7"/>
    <w:rsid w:val="30E2426F"/>
    <w:rsid w:val="30E8387B"/>
    <w:rsid w:val="30EE704A"/>
    <w:rsid w:val="30F920D6"/>
    <w:rsid w:val="3116031D"/>
    <w:rsid w:val="31464EFB"/>
    <w:rsid w:val="31BF2ACB"/>
    <w:rsid w:val="31DF2E9B"/>
    <w:rsid w:val="32122996"/>
    <w:rsid w:val="321714BA"/>
    <w:rsid w:val="327764B4"/>
    <w:rsid w:val="32907376"/>
    <w:rsid w:val="32921074"/>
    <w:rsid w:val="32975847"/>
    <w:rsid w:val="32B87962"/>
    <w:rsid w:val="32C7137B"/>
    <w:rsid w:val="32DE2520"/>
    <w:rsid w:val="32E04D3D"/>
    <w:rsid w:val="33043F7D"/>
    <w:rsid w:val="336112D9"/>
    <w:rsid w:val="33677918"/>
    <w:rsid w:val="33891AB0"/>
    <w:rsid w:val="342C7E55"/>
    <w:rsid w:val="347A5BA1"/>
    <w:rsid w:val="34B01AB5"/>
    <w:rsid w:val="34E12C77"/>
    <w:rsid w:val="35464D6F"/>
    <w:rsid w:val="35482F40"/>
    <w:rsid w:val="35DF05B4"/>
    <w:rsid w:val="360C5FF5"/>
    <w:rsid w:val="361A651F"/>
    <w:rsid w:val="363A394A"/>
    <w:rsid w:val="368A7320"/>
    <w:rsid w:val="37022FF7"/>
    <w:rsid w:val="372911E1"/>
    <w:rsid w:val="37567CEF"/>
    <w:rsid w:val="377337C2"/>
    <w:rsid w:val="37975544"/>
    <w:rsid w:val="388A7566"/>
    <w:rsid w:val="39086BDD"/>
    <w:rsid w:val="393A24C4"/>
    <w:rsid w:val="395B49B0"/>
    <w:rsid w:val="39A12F95"/>
    <w:rsid w:val="39C2003D"/>
    <w:rsid w:val="39CB3049"/>
    <w:rsid w:val="39CD6877"/>
    <w:rsid w:val="39D65AF3"/>
    <w:rsid w:val="39F350C2"/>
    <w:rsid w:val="3A36046C"/>
    <w:rsid w:val="3A682B2C"/>
    <w:rsid w:val="3A833640"/>
    <w:rsid w:val="3A88432D"/>
    <w:rsid w:val="3A997C91"/>
    <w:rsid w:val="3AB4321F"/>
    <w:rsid w:val="3AC95799"/>
    <w:rsid w:val="3AC9582B"/>
    <w:rsid w:val="3AD63F39"/>
    <w:rsid w:val="3AFB0E59"/>
    <w:rsid w:val="3B2B10C6"/>
    <w:rsid w:val="3B5B4068"/>
    <w:rsid w:val="3B5F3E9F"/>
    <w:rsid w:val="3B8B45B5"/>
    <w:rsid w:val="3BAF5F6C"/>
    <w:rsid w:val="3C156C2F"/>
    <w:rsid w:val="3C1A2F91"/>
    <w:rsid w:val="3C370C7B"/>
    <w:rsid w:val="3CB24233"/>
    <w:rsid w:val="3CB321BE"/>
    <w:rsid w:val="3CE94F65"/>
    <w:rsid w:val="3CF555F7"/>
    <w:rsid w:val="3D0D08A6"/>
    <w:rsid w:val="3D393D14"/>
    <w:rsid w:val="3D71435B"/>
    <w:rsid w:val="3D8B0C2E"/>
    <w:rsid w:val="3DA0069B"/>
    <w:rsid w:val="3DBF1BC9"/>
    <w:rsid w:val="3DDA7C40"/>
    <w:rsid w:val="3DE214F8"/>
    <w:rsid w:val="3DF917E9"/>
    <w:rsid w:val="3E827490"/>
    <w:rsid w:val="3ECB1FF6"/>
    <w:rsid w:val="3EFB444E"/>
    <w:rsid w:val="3F1623B0"/>
    <w:rsid w:val="3F180B3F"/>
    <w:rsid w:val="3F40500D"/>
    <w:rsid w:val="3F4353EC"/>
    <w:rsid w:val="3F574B91"/>
    <w:rsid w:val="3FA56239"/>
    <w:rsid w:val="3FAC45DB"/>
    <w:rsid w:val="3FC754B8"/>
    <w:rsid w:val="3FDF4BBF"/>
    <w:rsid w:val="3FF46C85"/>
    <w:rsid w:val="401B592F"/>
    <w:rsid w:val="4021179A"/>
    <w:rsid w:val="402813F9"/>
    <w:rsid w:val="40675C1F"/>
    <w:rsid w:val="406813FC"/>
    <w:rsid w:val="406E15F9"/>
    <w:rsid w:val="407076AF"/>
    <w:rsid w:val="407D6D3C"/>
    <w:rsid w:val="40B04ECC"/>
    <w:rsid w:val="40DD0115"/>
    <w:rsid w:val="41183AA9"/>
    <w:rsid w:val="4124355F"/>
    <w:rsid w:val="413F656F"/>
    <w:rsid w:val="41530EAF"/>
    <w:rsid w:val="41C71631"/>
    <w:rsid w:val="41D26783"/>
    <w:rsid w:val="41E85528"/>
    <w:rsid w:val="421512D5"/>
    <w:rsid w:val="423D1C95"/>
    <w:rsid w:val="431B6966"/>
    <w:rsid w:val="434466A0"/>
    <w:rsid w:val="43752384"/>
    <w:rsid w:val="437D348E"/>
    <w:rsid w:val="4387067F"/>
    <w:rsid w:val="43C04E6B"/>
    <w:rsid w:val="43D76522"/>
    <w:rsid w:val="43E4796B"/>
    <w:rsid w:val="43FB220B"/>
    <w:rsid w:val="44045CAF"/>
    <w:rsid w:val="444C59FD"/>
    <w:rsid w:val="449403F6"/>
    <w:rsid w:val="44FD657C"/>
    <w:rsid w:val="452A5453"/>
    <w:rsid w:val="452D48B3"/>
    <w:rsid w:val="45344198"/>
    <w:rsid w:val="45544607"/>
    <w:rsid w:val="45677962"/>
    <w:rsid w:val="456E2F45"/>
    <w:rsid w:val="457C4631"/>
    <w:rsid w:val="458A34E5"/>
    <w:rsid w:val="467E2ECD"/>
    <w:rsid w:val="469068EA"/>
    <w:rsid w:val="46A02082"/>
    <w:rsid w:val="46B602C8"/>
    <w:rsid w:val="46BF3D2D"/>
    <w:rsid w:val="46C52947"/>
    <w:rsid w:val="46CB4517"/>
    <w:rsid w:val="46D704E3"/>
    <w:rsid w:val="46F55843"/>
    <w:rsid w:val="47005D57"/>
    <w:rsid w:val="4716272C"/>
    <w:rsid w:val="471E5D30"/>
    <w:rsid w:val="471E6656"/>
    <w:rsid w:val="472F09F4"/>
    <w:rsid w:val="4741209A"/>
    <w:rsid w:val="47CD0EAB"/>
    <w:rsid w:val="47E6380B"/>
    <w:rsid w:val="48260E3B"/>
    <w:rsid w:val="483E679F"/>
    <w:rsid w:val="485C2E52"/>
    <w:rsid w:val="485F058A"/>
    <w:rsid w:val="48721B5F"/>
    <w:rsid w:val="48773C00"/>
    <w:rsid w:val="489108D8"/>
    <w:rsid w:val="48A57725"/>
    <w:rsid w:val="48C8190C"/>
    <w:rsid w:val="48D43EC4"/>
    <w:rsid w:val="49182805"/>
    <w:rsid w:val="49191247"/>
    <w:rsid w:val="49496569"/>
    <w:rsid w:val="495A3120"/>
    <w:rsid w:val="49707416"/>
    <w:rsid w:val="498C3053"/>
    <w:rsid w:val="49BE4E70"/>
    <w:rsid w:val="49CD48DB"/>
    <w:rsid w:val="4A555699"/>
    <w:rsid w:val="4A7F6708"/>
    <w:rsid w:val="4AC057D8"/>
    <w:rsid w:val="4AD474F8"/>
    <w:rsid w:val="4AEF684D"/>
    <w:rsid w:val="4AF22D20"/>
    <w:rsid w:val="4B320EC5"/>
    <w:rsid w:val="4B64725D"/>
    <w:rsid w:val="4B6F4A28"/>
    <w:rsid w:val="4B80468C"/>
    <w:rsid w:val="4B913981"/>
    <w:rsid w:val="4BFB2E8F"/>
    <w:rsid w:val="4C00371E"/>
    <w:rsid w:val="4C42580C"/>
    <w:rsid w:val="4C59329D"/>
    <w:rsid w:val="4C6C3E4F"/>
    <w:rsid w:val="4C6D0986"/>
    <w:rsid w:val="4C7C1B3E"/>
    <w:rsid w:val="4CB97943"/>
    <w:rsid w:val="4CE356D5"/>
    <w:rsid w:val="4D094CA6"/>
    <w:rsid w:val="4D282D1F"/>
    <w:rsid w:val="4D422426"/>
    <w:rsid w:val="4D6A2402"/>
    <w:rsid w:val="4D82574F"/>
    <w:rsid w:val="4DB76DBC"/>
    <w:rsid w:val="4DBA7AD2"/>
    <w:rsid w:val="4DEC79D7"/>
    <w:rsid w:val="4DF77269"/>
    <w:rsid w:val="4DFB10BE"/>
    <w:rsid w:val="4E2E3B57"/>
    <w:rsid w:val="4E34503B"/>
    <w:rsid w:val="4E6A0163"/>
    <w:rsid w:val="4EAA43E5"/>
    <w:rsid w:val="4EE532AE"/>
    <w:rsid w:val="4EF838F8"/>
    <w:rsid w:val="4EFC329B"/>
    <w:rsid w:val="4F1039FB"/>
    <w:rsid w:val="4F244D75"/>
    <w:rsid w:val="4F2E3F21"/>
    <w:rsid w:val="4F3D3FEF"/>
    <w:rsid w:val="4F695910"/>
    <w:rsid w:val="4F96583F"/>
    <w:rsid w:val="4F9A3230"/>
    <w:rsid w:val="4FD06822"/>
    <w:rsid w:val="4FF70B1C"/>
    <w:rsid w:val="503C33FE"/>
    <w:rsid w:val="504A22F0"/>
    <w:rsid w:val="507772A6"/>
    <w:rsid w:val="51382F33"/>
    <w:rsid w:val="51477565"/>
    <w:rsid w:val="51573DCD"/>
    <w:rsid w:val="51D26947"/>
    <w:rsid w:val="51DD33C6"/>
    <w:rsid w:val="524145D2"/>
    <w:rsid w:val="52487468"/>
    <w:rsid w:val="52506A9D"/>
    <w:rsid w:val="5271271C"/>
    <w:rsid w:val="527A6E7D"/>
    <w:rsid w:val="529961DD"/>
    <w:rsid w:val="52CB166A"/>
    <w:rsid w:val="52DC7944"/>
    <w:rsid w:val="53145E10"/>
    <w:rsid w:val="535068B1"/>
    <w:rsid w:val="53846714"/>
    <w:rsid w:val="53980148"/>
    <w:rsid w:val="53E23B59"/>
    <w:rsid w:val="53F34B64"/>
    <w:rsid w:val="54192ABC"/>
    <w:rsid w:val="542F2B81"/>
    <w:rsid w:val="54482878"/>
    <w:rsid w:val="546B479B"/>
    <w:rsid w:val="54A4438C"/>
    <w:rsid w:val="54A94AF8"/>
    <w:rsid w:val="54EA6836"/>
    <w:rsid w:val="55710C6D"/>
    <w:rsid w:val="55B27AB6"/>
    <w:rsid w:val="55D60C32"/>
    <w:rsid w:val="55F22D25"/>
    <w:rsid w:val="55F321BF"/>
    <w:rsid w:val="561320F7"/>
    <w:rsid w:val="563969B7"/>
    <w:rsid w:val="567507A2"/>
    <w:rsid w:val="569A593D"/>
    <w:rsid w:val="56AA2A54"/>
    <w:rsid w:val="56AD2BD2"/>
    <w:rsid w:val="56E17615"/>
    <w:rsid w:val="56E30BC2"/>
    <w:rsid w:val="57176724"/>
    <w:rsid w:val="580F0C72"/>
    <w:rsid w:val="585E3709"/>
    <w:rsid w:val="58840B30"/>
    <w:rsid w:val="5898177D"/>
    <w:rsid w:val="5906181B"/>
    <w:rsid w:val="592023A5"/>
    <w:rsid w:val="592F7BA6"/>
    <w:rsid w:val="59431D05"/>
    <w:rsid w:val="59515C73"/>
    <w:rsid w:val="598A29F9"/>
    <w:rsid w:val="598B044F"/>
    <w:rsid w:val="598E6AC4"/>
    <w:rsid w:val="59943897"/>
    <w:rsid w:val="5A0E0065"/>
    <w:rsid w:val="5A1575F8"/>
    <w:rsid w:val="5A492EA3"/>
    <w:rsid w:val="5A4D28F7"/>
    <w:rsid w:val="5A590048"/>
    <w:rsid w:val="5ADA12D3"/>
    <w:rsid w:val="5ADA2117"/>
    <w:rsid w:val="5B49472D"/>
    <w:rsid w:val="5B6271D7"/>
    <w:rsid w:val="5B801178"/>
    <w:rsid w:val="5B905161"/>
    <w:rsid w:val="5B962200"/>
    <w:rsid w:val="5BB63393"/>
    <w:rsid w:val="5BB83183"/>
    <w:rsid w:val="5BCC001C"/>
    <w:rsid w:val="5C426249"/>
    <w:rsid w:val="5C5567BB"/>
    <w:rsid w:val="5C883F79"/>
    <w:rsid w:val="5CB46490"/>
    <w:rsid w:val="5CFC5EFE"/>
    <w:rsid w:val="5D07359C"/>
    <w:rsid w:val="5D1927D1"/>
    <w:rsid w:val="5D563E46"/>
    <w:rsid w:val="5D5929E2"/>
    <w:rsid w:val="5D647CBE"/>
    <w:rsid w:val="5D721C0F"/>
    <w:rsid w:val="5D730AE2"/>
    <w:rsid w:val="5D935E42"/>
    <w:rsid w:val="5E2C2E08"/>
    <w:rsid w:val="5E530807"/>
    <w:rsid w:val="5E6435B5"/>
    <w:rsid w:val="5E6E3ED4"/>
    <w:rsid w:val="5E790404"/>
    <w:rsid w:val="5E91241F"/>
    <w:rsid w:val="5F124FBA"/>
    <w:rsid w:val="5F2221BE"/>
    <w:rsid w:val="5F897176"/>
    <w:rsid w:val="5F9309AB"/>
    <w:rsid w:val="5FB1541D"/>
    <w:rsid w:val="5FB45D38"/>
    <w:rsid w:val="5FCD143C"/>
    <w:rsid w:val="5FE36A07"/>
    <w:rsid w:val="60146FB1"/>
    <w:rsid w:val="602F6B00"/>
    <w:rsid w:val="60C761F8"/>
    <w:rsid w:val="612960E0"/>
    <w:rsid w:val="612B67A0"/>
    <w:rsid w:val="61381970"/>
    <w:rsid w:val="61736A89"/>
    <w:rsid w:val="618A7105"/>
    <w:rsid w:val="61BB6FCD"/>
    <w:rsid w:val="61BE1523"/>
    <w:rsid w:val="61CA1A58"/>
    <w:rsid w:val="61E47ED3"/>
    <w:rsid w:val="61EF3DF0"/>
    <w:rsid w:val="626E3B6B"/>
    <w:rsid w:val="636E44D4"/>
    <w:rsid w:val="63EB4D12"/>
    <w:rsid w:val="643C3697"/>
    <w:rsid w:val="644B67DB"/>
    <w:rsid w:val="64E352DC"/>
    <w:rsid w:val="650872C4"/>
    <w:rsid w:val="650C1770"/>
    <w:rsid w:val="65427AC0"/>
    <w:rsid w:val="659815D2"/>
    <w:rsid w:val="65A40315"/>
    <w:rsid w:val="65BB0CED"/>
    <w:rsid w:val="65BF4EDC"/>
    <w:rsid w:val="661D34FD"/>
    <w:rsid w:val="66221351"/>
    <w:rsid w:val="663440E0"/>
    <w:rsid w:val="663F350F"/>
    <w:rsid w:val="66624BF8"/>
    <w:rsid w:val="66694AA2"/>
    <w:rsid w:val="667A1129"/>
    <w:rsid w:val="66AB709C"/>
    <w:rsid w:val="66CD1DD5"/>
    <w:rsid w:val="66F2152A"/>
    <w:rsid w:val="66F907DC"/>
    <w:rsid w:val="670B4073"/>
    <w:rsid w:val="6736400B"/>
    <w:rsid w:val="673A7EAE"/>
    <w:rsid w:val="675937D5"/>
    <w:rsid w:val="6770114A"/>
    <w:rsid w:val="679771F0"/>
    <w:rsid w:val="67A46DFC"/>
    <w:rsid w:val="67BB7702"/>
    <w:rsid w:val="67E92B05"/>
    <w:rsid w:val="681202C0"/>
    <w:rsid w:val="683571D3"/>
    <w:rsid w:val="686D3264"/>
    <w:rsid w:val="68B43B18"/>
    <w:rsid w:val="68DA3B3B"/>
    <w:rsid w:val="68E244B8"/>
    <w:rsid w:val="690964BB"/>
    <w:rsid w:val="692816C8"/>
    <w:rsid w:val="698D57E5"/>
    <w:rsid w:val="69967027"/>
    <w:rsid w:val="69A772D0"/>
    <w:rsid w:val="69AB242B"/>
    <w:rsid w:val="69BD661E"/>
    <w:rsid w:val="69CB3875"/>
    <w:rsid w:val="69E832AD"/>
    <w:rsid w:val="6A2E598E"/>
    <w:rsid w:val="6A3470B8"/>
    <w:rsid w:val="6A560FFB"/>
    <w:rsid w:val="6A7956E6"/>
    <w:rsid w:val="6A856D19"/>
    <w:rsid w:val="6ADB6DAC"/>
    <w:rsid w:val="6AE46BE3"/>
    <w:rsid w:val="6AF51763"/>
    <w:rsid w:val="6AFA1CA8"/>
    <w:rsid w:val="6B115C6B"/>
    <w:rsid w:val="6B1C11BF"/>
    <w:rsid w:val="6B282FD3"/>
    <w:rsid w:val="6B5A195C"/>
    <w:rsid w:val="6B907650"/>
    <w:rsid w:val="6B9A7964"/>
    <w:rsid w:val="6BC7700D"/>
    <w:rsid w:val="6BD44608"/>
    <w:rsid w:val="6BEF606B"/>
    <w:rsid w:val="6C06330F"/>
    <w:rsid w:val="6C0C33D3"/>
    <w:rsid w:val="6C524993"/>
    <w:rsid w:val="6C663875"/>
    <w:rsid w:val="6C8F362F"/>
    <w:rsid w:val="6D024FD2"/>
    <w:rsid w:val="6D7E0FA7"/>
    <w:rsid w:val="6D8A65DB"/>
    <w:rsid w:val="6DB115BA"/>
    <w:rsid w:val="6DB83E63"/>
    <w:rsid w:val="6DD02A9D"/>
    <w:rsid w:val="6DE875F9"/>
    <w:rsid w:val="6DFF2AF7"/>
    <w:rsid w:val="6E061260"/>
    <w:rsid w:val="6E1B4C0D"/>
    <w:rsid w:val="6E4B61DF"/>
    <w:rsid w:val="6E8A7479"/>
    <w:rsid w:val="6EA26851"/>
    <w:rsid w:val="6F037811"/>
    <w:rsid w:val="6F0B05E5"/>
    <w:rsid w:val="6F340499"/>
    <w:rsid w:val="706D1410"/>
    <w:rsid w:val="708D39CF"/>
    <w:rsid w:val="70AE0C53"/>
    <w:rsid w:val="70BC202E"/>
    <w:rsid w:val="70C41208"/>
    <w:rsid w:val="70EB2DAC"/>
    <w:rsid w:val="70F07466"/>
    <w:rsid w:val="71877F68"/>
    <w:rsid w:val="718E4F46"/>
    <w:rsid w:val="71BE0D70"/>
    <w:rsid w:val="722D3167"/>
    <w:rsid w:val="726733AD"/>
    <w:rsid w:val="72A4135E"/>
    <w:rsid w:val="72D87FB7"/>
    <w:rsid w:val="72F44C60"/>
    <w:rsid w:val="72F600DA"/>
    <w:rsid w:val="73234D23"/>
    <w:rsid w:val="7357066A"/>
    <w:rsid w:val="73881A09"/>
    <w:rsid w:val="73CA1898"/>
    <w:rsid w:val="73DD369B"/>
    <w:rsid w:val="74554411"/>
    <w:rsid w:val="7471239A"/>
    <w:rsid w:val="74722DA0"/>
    <w:rsid w:val="74855AE3"/>
    <w:rsid w:val="74856FBF"/>
    <w:rsid w:val="74991F35"/>
    <w:rsid w:val="74C060EF"/>
    <w:rsid w:val="74C465A5"/>
    <w:rsid w:val="74E77154"/>
    <w:rsid w:val="75643C32"/>
    <w:rsid w:val="758E71B1"/>
    <w:rsid w:val="75C45275"/>
    <w:rsid w:val="75EF42E2"/>
    <w:rsid w:val="767C6E82"/>
    <w:rsid w:val="76906A08"/>
    <w:rsid w:val="76A1285B"/>
    <w:rsid w:val="76A424A8"/>
    <w:rsid w:val="76D63BC2"/>
    <w:rsid w:val="76DB2CCA"/>
    <w:rsid w:val="76E95415"/>
    <w:rsid w:val="76EE7050"/>
    <w:rsid w:val="771171AA"/>
    <w:rsid w:val="77430271"/>
    <w:rsid w:val="77433CDA"/>
    <w:rsid w:val="77606F85"/>
    <w:rsid w:val="7764452F"/>
    <w:rsid w:val="778C3509"/>
    <w:rsid w:val="77993120"/>
    <w:rsid w:val="77DE6A8A"/>
    <w:rsid w:val="781B506E"/>
    <w:rsid w:val="78261197"/>
    <w:rsid w:val="78502AD6"/>
    <w:rsid w:val="786A286D"/>
    <w:rsid w:val="788F7469"/>
    <w:rsid w:val="789F5444"/>
    <w:rsid w:val="78B81CF2"/>
    <w:rsid w:val="78D30F33"/>
    <w:rsid w:val="78E7042D"/>
    <w:rsid w:val="791B51D1"/>
    <w:rsid w:val="79520FE8"/>
    <w:rsid w:val="797D4451"/>
    <w:rsid w:val="799F0869"/>
    <w:rsid w:val="79B6026A"/>
    <w:rsid w:val="79D549EE"/>
    <w:rsid w:val="79D92D54"/>
    <w:rsid w:val="79E04171"/>
    <w:rsid w:val="79F556B2"/>
    <w:rsid w:val="7A756071"/>
    <w:rsid w:val="7AA552F6"/>
    <w:rsid w:val="7ADC28EB"/>
    <w:rsid w:val="7AE91FC6"/>
    <w:rsid w:val="7AEB1B5E"/>
    <w:rsid w:val="7B300F57"/>
    <w:rsid w:val="7B3774E1"/>
    <w:rsid w:val="7C187AD3"/>
    <w:rsid w:val="7C191B21"/>
    <w:rsid w:val="7C6B18E5"/>
    <w:rsid w:val="7CB66CAE"/>
    <w:rsid w:val="7CC85673"/>
    <w:rsid w:val="7D403AC6"/>
    <w:rsid w:val="7DAA3ADD"/>
    <w:rsid w:val="7DBF6CF1"/>
    <w:rsid w:val="7DD841E1"/>
    <w:rsid w:val="7DEA3FC6"/>
    <w:rsid w:val="7E124FA8"/>
    <w:rsid w:val="7E9C06B3"/>
    <w:rsid w:val="7EA91A73"/>
    <w:rsid w:val="7EDE483F"/>
    <w:rsid w:val="7EE53024"/>
    <w:rsid w:val="7EEA4370"/>
    <w:rsid w:val="7EEA706A"/>
    <w:rsid w:val="7F110357"/>
    <w:rsid w:val="7F2F788A"/>
    <w:rsid w:val="7F304D7E"/>
    <w:rsid w:val="7F4C71CA"/>
    <w:rsid w:val="7F5767E3"/>
    <w:rsid w:val="7F7F39DB"/>
    <w:rsid w:val="7FF64549"/>
    <w:rsid w:val="7FFB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link w:val="13"/>
    <w:semiHidden/>
    <w:qFormat/>
    <w:uiPriority w:val="0"/>
    <w:rPr>
      <w:rFonts w:ascii="Times New Roman" w:hAnsi="Times New Roman" w:cs="Times New Roman"/>
      <w:szCs w:val="20"/>
    </w:rPr>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next w:val="3"/>
    <w:qFormat/>
    <w:uiPriority w:val="0"/>
    <w:pPr>
      <w:widowControl w:val="0"/>
      <w:ind w:firstLine="200" w:firstLineChars="200"/>
      <w:jc w:val="both"/>
    </w:pPr>
    <w:rPr>
      <w:rFonts w:ascii="Calibri" w:hAnsi="Calibri" w:eastAsia="仿宋_GB2312" w:cs="Times New Roman"/>
      <w:color w:val="000000"/>
      <w:kern w:val="2"/>
      <w:sz w:val="21"/>
      <w:szCs w:val="22"/>
      <w:lang w:val="en-US" w:eastAsia="zh-CN" w:bidi="ar-SA"/>
    </w:rPr>
  </w:style>
  <w:style w:type="paragraph" w:styleId="3">
    <w:name w:val="Normal (Web)"/>
    <w:basedOn w:val="1"/>
    <w:next w:val="2"/>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4">
    <w:name w:val="Normal Indent"/>
    <w:basedOn w:val="1"/>
    <w:unhideWhenUsed/>
    <w:qFormat/>
    <w:uiPriority w:val="0"/>
    <w:pPr>
      <w:ind w:firstLine="880" w:firstLineChars="200"/>
    </w:pPr>
  </w:style>
  <w:style w:type="paragraph" w:styleId="5">
    <w:name w:val="Body Text"/>
    <w:basedOn w:val="1"/>
    <w:qFormat/>
    <w:uiPriority w:val="0"/>
    <w:rPr>
      <w:rFonts w:ascii="仿宋_GB2312" w:eastAsia="仿宋_GB2312"/>
      <w:sz w:val="32"/>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qFormat/>
    <w:uiPriority w:val="0"/>
    <w:pPr>
      <w:spacing w:line="560" w:lineRule="exact"/>
      <w:ind w:firstLine="721" w:firstLineChars="200"/>
    </w:pPr>
    <w:rPr>
      <w:rFonts w:ascii="Calibri"/>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rFonts w:ascii="Times New Roman" w:hAnsi="Times New Roman" w:cs="Times New Roman"/>
      <w:szCs w:val="20"/>
    </w:rPr>
  </w:style>
  <w:style w:type="character" w:styleId="14">
    <w:name w:val="Strong"/>
    <w:basedOn w:val="12"/>
    <w:qFormat/>
    <w:uiPriority w:val="22"/>
    <w:rPr>
      <w:b/>
      <w:bCs/>
    </w:rPr>
  </w:style>
  <w:style w:type="character" w:styleId="15">
    <w:name w:val="page number"/>
    <w:qFormat/>
    <w:uiPriority w:val="0"/>
  </w:style>
  <w:style w:type="character" w:styleId="16">
    <w:name w:val="Hyperlink"/>
    <w:basedOn w:val="12"/>
    <w:qFormat/>
    <w:uiPriority w:val="0"/>
    <w:rPr>
      <w:color w:val="0000FF"/>
      <w:u w:val="single"/>
    </w:rPr>
  </w:style>
  <w:style w:type="paragraph" w:customStyle="1" w:styleId="17">
    <w:name w:val="列出段落3"/>
    <w:basedOn w:val="1"/>
    <w:qFormat/>
    <w:uiPriority w:val="0"/>
    <w:pPr>
      <w:ind w:firstLine="420" w:firstLineChars="200"/>
    </w:pPr>
    <w:rPr>
      <w:rFonts w:ascii="Calibri" w:hAnsi="Calibri"/>
      <w:szCs w:val="22"/>
    </w:rPr>
  </w:style>
  <w:style w:type="paragraph" w:customStyle="1" w:styleId="18">
    <w:name w:val="Body Text First Indent 2"/>
    <w:basedOn w:val="19"/>
    <w:qFormat/>
    <w:uiPriority w:val="0"/>
    <w:pPr>
      <w:spacing w:after="120" w:afterLines="0" w:line="240" w:lineRule="auto"/>
      <w:ind w:left="420" w:leftChars="200" w:firstLine="210" w:firstLineChars="200"/>
    </w:pPr>
    <w:rPr>
      <w:szCs w:val="24"/>
    </w:rPr>
  </w:style>
  <w:style w:type="paragraph" w:customStyle="1" w:styleId="19">
    <w:name w:val="Body Text Indent1"/>
    <w:basedOn w:val="1"/>
    <w:qFormat/>
    <w:uiPriority w:val="0"/>
    <w:pPr>
      <w:spacing w:line="520" w:lineRule="exact"/>
      <w:ind w:left="840" w:leftChars="350" w:hanging="105" w:hangingChars="50"/>
    </w:pPr>
    <w:rPr>
      <w:szCs w:val="20"/>
    </w:rPr>
  </w:style>
  <w:style w:type="paragraph" w:customStyle="1" w:styleId="20">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引文目录1"/>
    <w:basedOn w:val="22"/>
    <w:next w:val="1"/>
    <w:qFormat/>
    <w:uiPriority w:val="0"/>
    <w:pPr>
      <w:ind w:left="420" w:leftChars="200"/>
    </w:pPr>
  </w:style>
  <w:style w:type="paragraph" w:customStyle="1" w:styleId="22">
    <w:name w:val="正文 New New New New New New New New New New New New New"/>
    <w:next w:val="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表格"/>
    <w:basedOn w:val="1"/>
    <w:qFormat/>
    <w:uiPriority w:val="0"/>
    <w:pPr>
      <w:ind w:firstLine="0" w:firstLineChars="0"/>
      <w:jc w:val="center"/>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8266</Words>
  <Characters>8734</Characters>
  <Lines>0</Lines>
  <Paragraphs>0</Paragraphs>
  <TotalTime>7</TotalTime>
  <ScaleCrop>false</ScaleCrop>
  <LinksUpToDate>false</LinksUpToDate>
  <CharactersWithSpaces>9491</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2019-06-14T10:00:00Z</dcterms:created>
  <dc:creator>不再未来</dc:creator>
  <cp:lastModifiedBy>Administrator</cp:lastModifiedBy>
  <cp:lastPrinted>2022-06-10T02:15:00Z</cp:lastPrinted>
  <dcterms:modified xsi:type="dcterms:W3CDTF">2022-06-30T03:19:40Z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4DE31E1687EC4780B366DDF7B6F0F435</vt:lpwstr>
  </property>
</Properties>
</file>