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" w:firstLineChars="5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20" w:lineRule="exact"/>
        <w:ind w:firstLine="180" w:firstLineChars="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年非物质文化遗产进校园、进社区</w:t>
      </w:r>
    </w:p>
    <w:p>
      <w:pPr>
        <w:spacing w:line="520" w:lineRule="exact"/>
        <w:ind w:firstLine="180" w:firstLineChars="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公益惠民活动任务分配表</w:t>
      </w:r>
    </w:p>
    <w:tbl>
      <w:tblPr>
        <w:tblStyle w:val="2"/>
        <w:tblW w:w="7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30"/>
        <w:gridCol w:w="1361"/>
        <w:gridCol w:w="1361"/>
        <w:gridCol w:w="136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 区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总场次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示范性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创新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性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专题性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沈阳市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鞍山市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抚顺市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本溪市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丹东市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锦州市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营口市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阜新市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辽阳市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铁岭市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朝阳市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盘锦市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葫芦岛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  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100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备注：1.每季度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26"/>
          <w:szCs w:val="26"/>
        </w:rPr>
        <w:t>按照任务分配数完成，省政府绩效考评有严格要求。</w:t>
      </w:r>
    </w:p>
    <w:p>
      <w:pPr>
        <w:ind w:firstLine="780" w:firstLineChars="3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2.各地进社区场次不能低于总场次的1／3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6"/>
          <w:szCs w:val="26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5E907A44"/>
    <w:rsid w:val="672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226</Characters>
  <Lines>0</Lines>
  <Paragraphs>0</Paragraphs>
  <TotalTime>1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2023-03-06T06:15:00Z</dcterms:created>
  <dc:creator>lenovo</dc:creator>
  <cp:lastModifiedBy>韩霜</cp:lastModifiedBy>
  <dcterms:modified xsi:type="dcterms:W3CDTF">2023-03-06T07:24:01Z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BEBF69036902404389EFA08A9F948B04</vt:lpwstr>
  </property>
</Properties>
</file>