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300" w:type="dxa"/>
        <w:tblInd w:w="88" w:type="dxa"/>
        <w:tblLayout w:type="autofit"/>
        <w:tblCellMar>
          <w:top w:w="0" w:type="dxa"/>
          <w:left w:w="108" w:type="dxa"/>
          <w:bottom w:w="0" w:type="dxa"/>
          <w:right w:w="108" w:type="dxa"/>
        </w:tblCellMar>
      </w:tblPr>
      <w:tblGrid>
        <w:gridCol w:w="1096"/>
        <w:gridCol w:w="933"/>
        <w:gridCol w:w="933"/>
        <w:gridCol w:w="933"/>
        <w:gridCol w:w="1745"/>
        <w:gridCol w:w="2726"/>
        <w:gridCol w:w="934"/>
      </w:tblGrid>
      <w:tr>
        <w:trPr>
          <w:trHeight w:val="660" w:hRule="atLeast"/>
        </w:trPr>
        <w:tc>
          <w:tcPr>
            <w:tcW w:w="1096" w:type="dxa"/>
            <w:tcBorders>
              <w:top w:val="nil"/>
              <w:left w:val="nil"/>
              <w:bottom w:val="nil"/>
              <w:right w:val="nil"/>
            </w:tcBorders>
            <w:noWrap/>
            <w:vAlign w:val="center"/>
          </w:tcPr>
          <w:p>
            <w:pPr>
              <w:widowControl/>
              <w:jc w:val="left"/>
              <w:rPr>
                <w:rFonts w:hint="eastAsia" w:ascii="黑体" w:eastAsia="黑体" w:cs="宋体"/>
                <w:kern w:val="0"/>
                <w:sz w:val="32"/>
                <w:szCs w:val="32"/>
                <w:lang w:bidi="ar-SA"/>
              </w:rPr>
            </w:pPr>
            <w:bookmarkStart w:id="0" w:name="_GoBack"/>
            <w:bookmarkEnd w:id="0"/>
          </w:p>
          <w:p>
            <w:pPr>
              <w:widowControl/>
              <w:jc w:val="left"/>
              <w:rPr>
                <w:rFonts w:hint="eastAsia" w:ascii="黑体" w:eastAsia="黑体" w:cs="宋体"/>
                <w:kern w:val="0"/>
                <w:sz w:val="28"/>
                <w:szCs w:val="28"/>
                <w:lang w:val="en" w:eastAsia="en" w:bidi="ar-SA"/>
              </w:rPr>
            </w:pPr>
            <w:r>
              <w:rPr>
                <w:rFonts w:hint="eastAsia" w:ascii="黑体" w:eastAsia="黑体" w:cs="宋体"/>
                <w:kern w:val="0"/>
                <w:sz w:val="32"/>
                <w:szCs w:val="32"/>
                <w:lang w:bidi="ar-SA"/>
              </w:rPr>
              <w:t>附件</w:t>
            </w:r>
            <w:r>
              <w:rPr>
                <w:rFonts w:hint="eastAsia" w:ascii="黑体" w:eastAsia="黑体" w:cs="宋体"/>
                <w:kern w:val="0"/>
                <w:sz w:val="32"/>
                <w:szCs w:val="32"/>
                <w:lang w:val="en" w:eastAsia="en" w:bidi="ar-SA"/>
              </w:rPr>
              <w:t>2</w:t>
            </w:r>
          </w:p>
        </w:tc>
        <w:tc>
          <w:tcPr>
            <w:tcW w:w="933" w:type="dxa"/>
            <w:tcBorders>
              <w:top w:val="nil"/>
              <w:left w:val="nil"/>
              <w:bottom w:val="nil"/>
              <w:right w:val="nil"/>
            </w:tcBorders>
            <w:noWrap/>
            <w:vAlign w:val="center"/>
          </w:tcPr>
          <w:p>
            <w:pPr>
              <w:widowControl/>
              <w:jc w:val="left"/>
              <w:rPr>
                <w:rFonts w:hint="eastAsia" w:ascii="宋体" w:cs="宋体"/>
                <w:kern w:val="0"/>
                <w:sz w:val="24"/>
                <w:lang w:bidi="ar-SA"/>
              </w:rPr>
            </w:pPr>
          </w:p>
        </w:tc>
        <w:tc>
          <w:tcPr>
            <w:tcW w:w="933" w:type="dxa"/>
            <w:tcBorders>
              <w:top w:val="nil"/>
              <w:left w:val="nil"/>
              <w:bottom w:val="nil"/>
              <w:right w:val="nil"/>
            </w:tcBorders>
            <w:noWrap/>
            <w:vAlign w:val="center"/>
          </w:tcPr>
          <w:p>
            <w:pPr>
              <w:widowControl/>
              <w:jc w:val="center"/>
              <w:rPr>
                <w:rFonts w:hint="eastAsia" w:ascii="宋体" w:cs="宋体"/>
                <w:kern w:val="0"/>
                <w:sz w:val="24"/>
                <w:lang w:bidi="ar-SA"/>
              </w:rPr>
            </w:pPr>
          </w:p>
          <w:p>
            <w:pPr>
              <w:widowControl/>
              <w:jc w:val="center"/>
              <w:rPr>
                <w:rFonts w:hint="eastAsia" w:ascii="宋体" w:cs="宋体"/>
                <w:kern w:val="0"/>
                <w:sz w:val="24"/>
                <w:lang w:bidi="ar-SA"/>
              </w:rPr>
            </w:pPr>
          </w:p>
          <w:p>
            <w:pPr>
              <w:widowControl/>
              <w:jc w:val="center"/>
              <w:rPr>
                <w:rFonts w:hint="eastAsia" w:ascii="宋体" w:cs="宋体"/>
                <w:kern w:val="0"/>
                <w:sz w:val="24"/>
                <w:lang w:bidi="ar-SA"/>
              </w:rPr>
            </w:pPr>
          </w:p>
        </w:tc>
        <w:tc>
          <w:tcPr>
            <w:tcW w:w="933" w:type="dxa"/>
            <w:tcBorders>
              <w:top w:val="nil"/>
              <w:left w:val="nil"/>
              <w:bottom w:val="nil"/>
              <w:right w:val="nil"/>
            </w:tcBorders>
            <w:noWrap/>
            <w:vAlign w:val="center"/>
          </w:tcPr>
          <w:p>
            <w:pPr>
              <w:widowControl/>
              <w:jc w:val="left"/>
              <w:rPr>
                <w:rFonts w:hint="eastAsia" w:ascii="宋体" w:cs="宋体"/>
                <w:kern w:val="0"/>
                <w:sz w:val="24"/>
                <w:lang w:bidi="ar-SA"/>
              </w:rPr>
            </w:pPr>
          </w:p>
        </w:tc>
        <w:tc>
          <w:tcPr>
            <w:tcW w:w="1745" w:type="dxa"/>
            <w:tcBorders>
              <w:top w:val="nil"/>
              <w:left w:val="nil"/>
              <w:bottom w:val="nil"/>
              <w:right w:val="nil"/>
            </w:tcBorders>
            <w:noWrap/>
            <w:vAlign w:val="center"/>
          </w:tcPr>
          <w:p>
            <w:pPr>
              <w:widowControl/>
              <w:jc w:val="left"/>
              <w:rPr>
                <w:rFonts w:hint="eastAsia" w:ascii="宋体" w:cs="宋体"/>
                <w:kern w:val="0"/>
                <w:sz w:val="24"/>
                <w:lang w:bidi="ar-SA"/>
              </w:rPr>
            </w:pPr>
          </w:p>
        </w:tc>
        <w:tc>
          <w:tcPr>
            <w:tcW w:w="2725" w:type="dxa"/>
            <w:tcBorders>
              <w:top w:val="nil"/>
              <w:left w:val="nil"/>
              <w:bottom w:val="nil"/>
              <w:right w:val="nil"/>
            </w:tcBorders>
            <w:noWrap/>
            <w:vAlign w:val="center"/>
          </w:tcPr>
          <w:p>
            <w:pPr>
              <w:widowControl/>
              <w:jc w:val="left"/>
              <w:rPr>
                <w:rFonts w:hint="eastAsia" w:ascii="宋体" w:cs="宋体"/>
                <w:kern w:val="0"/>
                <w:sz w:val="24"/>
                <w:lang w:bidi="ar-SA"/>
              </w:rPr>
            </w:pPr>
          </w:p>
        </w:tc>
        <w:tc>
          <w:tcPr>
            <w:tcW w:w="933" w:type="dxa"/>
            <w:tcBorders>
              <w:top w:val="nil"/>
              <w:left w:val="nil"/>
              <w:bottom w:val="nil"/>
              <w:right w:val="nil"/>
            </w:tcBorders>
            <w:noWrap/>
            <w:vAlign w:val="center"/>
          </w:tcPr>
          <w:p>
            <w:pPr>
              <w:widowControl/>
              <w:jc w:val="left"/>
              <w:rPr>
                <w:rFonts w:hint="eastAsia" w:ascii="宋体" w:cs="宋体"/>
                <w:color w:val="000000"/>
                <w:kern w:val="0"/>
                <w:sz w:val="22"/>
                <w:lang w:bidi="ar-SA"/>
              </w:rPr>
            </w:pPr>
          </w:p>
        </w:tc>
      </w:tr>
      <w:tr>
        <w:tblPrEx>
          <w:tblCellMar>
            <w:top w:w="0" w:type="dxa"/>
            <w:left w:w="108" w:type="dxa"/>
            <w:bottom w:w="0" w:type="dxa"/>
            <w:right w:w="108" w:type="dxa"/>
          </w:tblCellMar>
        </w:tblPrEx>
        <w:trPr>
          <w:trHeight w:val="660" w:hRule="atLeast"/>
        </w:trPr>
        <w:tc>
          <w:tcPr>
            <w:tcW w:w="9298" w:type="dxa"/>
            <w:gridSpan w:val="7"/>
            <w:tcBorders>
              <w:top w:val="nil"/>
              <w:left w:val="nil"/>
              <w:bottom w:val="single" w:color="auto" w:sz="4" w:space="0"/>
              <w:right w:val="nil"/>
            </w:tcBorders>
            <w:noWrap/>
            <w:vAlign w:val="center"/>
          </w:tcPr>
          <w:p>
            <w:pPr>
              <w:widowControl/>
              <w:snapToGrid w:val="0"/>
              <w:jc w:val="center"/>
              <w:rPr>
                <w:rFonts w:hint="eastAsia" w:ascii="宋体" w:cs="宋体"/>
                <w:color w:val="000000"/>
                <w:kern w:val="0"/>
                <w:sz w:val="22"/>
                <w:lang w:bidi="ar-SA"/>
              </w:rPr>
            </w:pPr>
            <w:r>
              <w:rPr>
                <w:rFonts w:hint="eastAsia" w:ascii="方正小标宋简体" w:eastAsia="方正小标宋简体" w:cs="宋体"/>
                <w:kern w:val="0"/>
                <w:sz w:val="36"/>
                <w:szCs w:val="36"/>
                <w:lang w:bidi="ar-SA"/>
              </w:rPr>
              <w:t>国家级代表性传承人传承活动评估打分表</w:t>
            </w:r>
          </w:p>
        </w:tc>
      </w:tr>
      <w:tr>
        <w:tblPrEx>
          <w:tblCellMar>
            <w:top w:w="0" w:type="dxa"/>
            <w:left w:w="108" w:type="dxa"/>
            <w:bottom w:w="0" w:type="dxa"/>
            <w:right w:w="108" w:type="dxa"/>
          </w:tblCellMar>
        </w:tblPrEx>
        <w:trPr>
          <w:trHeight w:val="863"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2"/>
                <w:lang w:bidi="ar-SA"/>
              </w:rPr>
            </w:pPr>
            <w:r>
              <w:rPr>
                <w:rFonts w:hint="eastAsia" w:ascii="仿宋_GB2312" w:eastAsia="仿宋_GB2312" w:cs="宋体"/>
                <w:b/>
                <w:bCs/>
                <w:kern w:val="0"/>
                <w:sz w:val="22"/>
                <w:lang w:bidi="ar-SA"/>
              </w:rPr>
              <w:t>传承人姓名</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32"/>
                <w:szCs w:val="32"/>
                <w:lang w:bidi="ar-SA"/>
              </w:rPr>
            </w:pPr>
            <w:r>
              <w:rPr>
                <w:rFonts w:hint="eastAsia" w:ascii="仿宋_GB2312" w:eastAsia="仿宋_GB2312" w:cs="宋体"/>
                <w:b/>
                <w:bCs/>
                <w:kern w:val="0"/>
                <w:sz w:val="32"/>
                <w:szCs w:val="32"/>
                <w:lang w:bidi="ar-SA"/>
              </w:rPr>
              <w:t>　</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2"/>
                <w:lang w:bidi="ar-SA"/>
              </w:rPr>
            </w:pPr>
            <w:r>
              <w:rPr>
                <w:rFonts w:hint="eastAsia" w:ascii="仿宋_GB2312" w:eastAsia="仿宋_GB2312" w:cs="宋体"/>
                <w:b/>
                <w:bCs/>
                <w:kern w:val="0"/>
                <w:sz w:val="22"/>
                <w:lang w:bidi="ar-SA"/>
              </w:rPr>
              <w:t>项目</w:t>
            </w:r>
          </w:p>
          <w:p>
            <w:pPr>
              <w:widowControl/>
              <w:jc w:val="center"/>
              <w:rPr>
                <w:rFonts w:hint="eastAsia" w:ascii="仿宋_GB2312" w:eastAsia="仿宋_GB2312" w:cs="宋体"/>
                <w:b/>
                <w:bCs/>
                <w:kern w:val="0"/>
                <w:sz w:val="22"/>
                <w:lang w:bidi="ar-SA"/>
              </w:rPr>
            </w:pPr>
            <w:r>
              <w:rPr>
                <w:rFonts w:hint="eastAsia" w:ascii="仿宋_GB2312" w:eastAsia="仿宋_GB2312" w:cs="宋体"/>
                <w:b/>
                <w:bCs/>
                <w:kern w:val="0"/>
                <w:sz w:val="22"/>
                <w:lang w:bidi="ar-SA"/>
              </w:rPr>
              <w:t>名称</w:t>
            </w:r>
          </w:p>
        </w:tc>
        <w:tc>
          <w:tcPr>
            <w:tcW w:w="267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32"/>
                <w:szCs w:val="32"/>
                <w:lang w:bidi="ar-SA"/>
              </w:rPr>
            </w:pPr>
            <w:r>
              <w:rPr>
                <w:rFonts w:hint="eastAsia" w:ascii="仿宋_GB2312" w:eastAsia="仿宋_GB2312" w:cs="宋体"/>
                <w:b/>
                <w:bCs/>
                <w:kern w:val="0"/>
                <w:sz w:val="32"/>
                <w:szCs w:val="32"/>
                <w:lang w:bidi="ar-SA"/>
              </w:rPr>
              <w:t>　</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2"/>
                <w:lang w:bidi="ar-SA"/>
              </w:rPr>
            </w:pPr>
            <w:r>
              <w:rPr>
                <w:rFonts w:hint="eastAsia" w:ascii="仿宋_GB2312" w:eastAsia="仿宋_GB2312" w:cs="宋体"/>
                <w:b/>
                <w:bCs/>
                <w:kern w:val="0"/>
                <w:sz w:val="22"/>
                <w:lang w:bidi="ar-SA"/>
              </w:rPr>
              <w:t>评估周期</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84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spacing w:val="-6"/>
                <w:kern w:val="0"/>
                <w:sz w:val="22"/>
                <w:lang w:bidi="ar-SA"/>
              </w:rPr>
            </w:pPr>
            <w:r>
              <w:rPr>
                <w:rFonts w:hint="eastAsia" w:ascii="仿宋_GB2312" w:eastAsia="仿宋_GB2312" w:cs="宋体"/>
                <w:b/>
                <w:bCs/>
                <w:spacing w:val="-6"/>
                <w:kern w:val="0"/>
                <w:sz w:val="22"/>
                <w:lang w:bidi="ar-SA"/>
              </w:rPr>
              <w:t>评估单位</w:t>
            </w:r>
          </w:p>
          <w:p>
            <w:pPr>
              <w:widowControl/>
              <w:jc w:val="center"/>
              <w:rPr>
                <w:rFonts w:hint="eastAsia" w:ascii="仿宋_GB2312" w:eastAsia="仿宋_GB2312" w:cs="宋体"/>
                <w:b/>
                <w:bCs/>
                <w:kern w:val="0"/>
                <w:sz w:val="22"/>
                <w:lang w:bidi="ar-SA"/>
              </w:rPr>
            </w:pPr>
            <w:r>
              <w:rPr>
                <w:rFonts w:hint="eastAsia" w:ascii="仿宋_GB2312" w:eastAsia="仿宋_GB2312" w:cs="宋体"/>
                <w:b/>
                <w:bCs/>
                <w:kern w:val="0"/>
                <w:sz w:val="22"/>
                <w:lang w:bidi="ar-SA"/>
              </w:rPr>
              <w:t>（盖章）</w:t>
            </w:r>
          </w:p>
        </w:tc>
        <w:tc>
          <w:tcPr>
            <w:tcW w:w="454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32"/>
                <w:szCs w:val="32"/>
                <w:lang w:bidi="ar-SA"/>
              </w:rPr>
            </w:pPr>
            <w:r>
              <w:rPr>
                <w:rFonts w:hint="eastAsia" w:ascii="仿宋_GB2312" w:eastAsia="仿宋_GB2312" w:cs="宋体"/>
                <w:b/>
                <w:bCs/>
                <w:kern w:val="0"/>
                <w:sz w:val="32"/>
                <w:szCs w:val="32"/>
                <w:lang w:bidi="ar-SA"/>
              </w:rPr>
              <w:t>　</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2"/>
                <w:lang w:bidi="ar-SA"/>
              </w:rPr>
            </w:pPr>
            <w:r>
              <w:rPr>
                <w:rFonts w:hint="eastAsia" w:ascii="仿宋_GB2312" w:eastAsia="仿宋_GB2312" w:cs="宋体"/>
                <w:b/>
                <w:bCs/>
                <w:kern w:val="0"/>
                <w:sz w:val="22"/>
                <w:lang w:bidi="ar-SA"/>
              </w:rPr>
              <w:t>评估负责人</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727"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一级指标</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二级</w:t>
            </w:r>
          </w:p>
          <w:p>
            <w:pPr>
              <w:widowControl/>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指标</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三级</w:t>
            </w:r>
          </w:p>
          <w:p>
            <w:pPr>
              <w:widowControl/>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指标</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分值</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指标解释</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参考评价标准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评估单位打分</w:t>
            </w:r>
          </w:p>
        </w:tc>
      </w:tr>
      <w:tr>
        <w:tblPrEx>
          <w:tblCellMar>
            <w:top w:w="0" w:type="dxa"/>
            <w:left w:w="108" w:type="dxa"/>
            <w:bottom w:w="0" w:type="dxa"/>
            <w:right w:w="108" w:type="dxa"/>
          </w:tblCellMar>
        </w:tblPrEx>
        <w:trPr>
          <w:trHeight w:val="787" w:hRule="atLeast"/>
        </w:trPr>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授徒传艺（40分）</w:t>
            </w: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授徒数量</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现有学徒数量</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两年以上学徒数量</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18"/>
                <w:szCs w:val="18"/>
                <w:lang w:bidi="ar-SA"/>
              </w:rPr>
            </w:pPr>
            <w:r>
              <w:rPr>
                <w:rFonts w:hint="eastAsia" w:ascii="仿宋_GB2312" w:eastAsia="仿宋_GB2312" w:cs="宋体"/>
                <w:kern w:val="0"/>
                <w:sz w:val="18"/>
                <w:szCs w:val="18"/>
                <w:lang w:bidi="ar-SA"/>
              </w:rPr>
              <w:t>根据项目存续状况评价：较多得4-5分，一般得3分，较少得1-2分，无得0分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001"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新增学徒数量</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评估周期内新收徒弟数量</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18"/>
                <w:szCs w:val="18"/>
                <w:lang w:bidi="ar-SA"/>
              </w:rPr>
            </w:pPr>
            <w:r>
              <w:rPr>
                <w:rFonts w:hint="eastAsia" w:ascii="仿宋_GB2312" w:eastAsia="仿宋_GB2312" w:cs="宋体"/>
                <w:kern w:val="0"/>
                <w:sz w:val="18"/>
                <w:szCs w:val="18"/>
                <w:lang w:bidi="ar-SA"/>
              </w:rPr>
              <w:t>根据项目存续状况评价：较多得4-5分，一般得3分，较少得1-2分，无得0分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644"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授徒效果</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学徒掌握技艺情况</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10</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学徒掌握核心技艺状况</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代表性学徒掌握全部核心技艺得10分，掌握部分核心技艺得4-9分，掌握少数核心技艺得1-3分，学徒暂未掌握核心技艺0分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937"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学徒成果</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10</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学徒参与项目相关调查研究、宣传展示活动，及相关成果获奖情况</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年度内学徒参与项目相关调查研究、宣传展示活动、专业晋级等，有成果的每项得1分，相关成果获市级奖项每项得1分，省级奖项每项得2分，国家级奖项每项得3分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993"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传艺情况</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传承普及活动</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10</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开展传承普及活动，向相关群体传艺及参加非遗进校园等教育普及活动的数量及频率</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年度内开展或参与传承普及活动，常态化开展得10分，间歇性开展根据数量大小衡量得4-9分，较少开展得1-3分，无得0分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662" w:hRule="atLeast"/>
        </w:trPr>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项目实践（20分）</w:t>
            </w: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生产（表演）创作</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生产（表演）活动情况</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年度内生产（表演）活动开展情况、产生的效应及社会影响</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根据项目类别评价，年度内生产（表演）活动开展较多、效果较好、社会影响大的得4-5分，一般得3分，较少得1-2分，无得0分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606"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创作活动情况</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年度内项目相关创作活动开展情况</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根据项目类别评价，年度内创作活动开展较多、行业认可度较高的得4-5分，一般得3分，较少得1-2分，无得0分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343"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技艺水平</w:t>
            </w: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个人技艺水平稳定及提升</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掌握核心技艺及行业认可</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掌握全部核心技艺及行业认可度较高得4-5分，一般得3分，较少开展得1-2分，无得0分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020"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对相关项目的创新发展及在行业内的影响</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年度内有创新并在业界取得较好影响得4-5分，有创新得1-3分，无得0分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399" w:hRule="atLeast"/>
        </w:trPr>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宣传交流（20分）</w:t>
            </w: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展示展演</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数量</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积极开展或参与市级以上项目相关展示展演、交流活动</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年度内开展或参与市级活动每项得1分，省级活动每项得2分，国家级活动得3分，5分封顶</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686"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质量</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开展或参与的相关活动获奖或社会评价情况</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年度内开展或参与活动获社会好评得1分（证明材料），获市级奖项得1分，获省级奖项得2分，获国家级奖项得3分，5分封顶</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2123"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宣传交流</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数量</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积极开展或参与项目相关宣传、交流活动（如各类非遗活动、对外交流活动、研讨、座谈、讲座、培训等）</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年度内开展或参与项目相关宣传、交流活动每项得1分，5分封顶</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2123"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质量</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开展或参与的相关活动造成社会反响情况或获奖情况</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年度内开展或参与相关活动获得良好社会反响每项得1分（证明材料），在活动中获市级奖项得1分，获省级奖项得2分，获国家级奖项得3分，5分封顶</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607" w:hRule="atLeast"/>
        </w:trPr>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资料收集整理研究（15分）</w:t>
            </w: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收集整理保存</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收集整理保存</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年度内收集整理项目相关文献、实物、资料情况</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年度内持续性收集整理项目相关文献、实物和资料，常态化得4-5分，间歇性得3分，较少得1-2分，无得0分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775"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理论研究</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年度内整理保存项目相关资料成果、理论研究、成果出版</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年度内整理项目资料并形成成果保存，每项成果得1分，成果出版每项得2分，5分封顶</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2048"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调查记录</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调查研究和记录</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年度内自发开展整理研究活动或积极配合相关部门开展项目相关调研及数字化记录工作</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年度内有自发开展的项目相关调查研究或记录工作得5分，无自发开展但积极配合有关部门开展相关调查研究或记录工作得3-4分，配合一般得1-2分，不配合0分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rPr>
          <w:trHeight w:val="1418"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社会影响（5分）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社会评价</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社区及行业认同</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5</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奖惩情况，在项目所在地社区传承情况、社区及行业对其德、艺评价</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所在区域、行业对其评价良好得4-5分，一般得1-3分，较差的得0分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2085" w:hRule="atLeast"/>
        </w:trPr>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其他情况（一票否决）</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遵纪守法</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遵守党纪国法情况</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是否遵守中国共产党党内纪律规定、国家有关法律法规规定等</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有触犯《中国共产党纪律处分条例》《中华人民共和国刑法》等情况的，违反《非遗法》相关规定将本项目核心资源提供给境外组织或个人的，一票否决</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1178" w:hRule="atLeast"/>
        </w:trPr>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个人情况</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异动信息</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传承人个人情况是否有异动，如变更国籍等</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0"/>
                <w:szCs w:val="20"/>
                <w:lang w:bidi="ar-SA"/>
              </w:rPr>
            </w:pPr>
            <w:r>
              <w:rPr>
                <w:rFonts w:hint="eastAsia" w:ascii="仿宋_GB2312" w:eastAsia="仿宋_GB2312" w:cs="宋体"/>
                <w:color w:val="000000"/>
                <w:kern w:val="0"/>
                <w:sz w:val="20"/>
                <w:szCs w:val="20"/>
                <w:lang w:bidi="ar-SA"/>
              </w:rPr>
              <w:t>传承人丧失中华人民共和国国籍的，一票否决</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color w:val="000000"/>
                <w:kern w:val="0"/>
                <w:sz w:val="22"/>
                <w:lang w:bidi="ar-SA"/>
              </w:rPr>
            </w:pPr>
            <w:r>
              <w:rPr>
                <w:rFonts w:hint="eastAsia" w:ascii="仿宋_GB2312" w:eastAsia="仿宋_GB2312" w:cs="宋体"/>
                <w:color w:val="000000"/>
                <w:kern w:val="0"/>
                <w:sz w:val="22"/>
                <w:lang w:bidi="ar-SA"/>
              </w:rPr>
              <w:t>　</w:t>
            </w:r>
          </w:p>
        </w:tc>
      </w:tr>
      <w:tr>
        <w:tblPrEx>
          <w:tblCellMar>
            <w:top w:w="0" w:type="dxa"/>
            <w:left w:w="108" w:type="dxa"/>
            <w:bottom w:w="0" w:type="dxa"/>
            <w:right w:w="108" w:type="dxa"/>
          </w:tblCellMar>
        </w:tblPrEx>
        <w:trPr>
          <w:trHeight w:val="578"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总分</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　</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　</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100</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　</w:t>
            </w:r>
          </w:p>
        </w:tc>
        <w:tc>
          <w:tcPr>
            <w:tcW w:w="27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rPr>
                <w:rFonts w:hint="eastAsia" w:ascii="仿宋_GB2312" w:eastAsia="仿宋_GB2312" w:cs="宋体"/>
                <w:b/>
                <w:bCs/>
                <w:kern w:val="0"/>
                <w:sz w:val="20"/>
                <w:szCs w:val="20"/>
                <w:lang w:bidi="ar-SA"/>
              </w:rPr>
            </w:pPr>
            <w:r>
              <w:rPr>
                <w:rFonts w:hint="eastAsia" w:ascii="仿宋_GB2312" w:eastAsia="仿宋_GB2312" w:cs="宋体"/>
                <w:b/>
                <w:bCs/>
                <w:kern w:val="0"/>
                <w:sz w:val="20"/>
                <w:szCs w:val="20"/>
                <w:lang w:bidi="ar-SA"/>
              </w:rPr>
              <w:t>　</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left"/>
              <w:rPr>
                <w:rFonts w:hint="eastAsia" w:ascii="仿宋_GB2312" w:eastAsia="仿宋_GB2312" w:cs="宋体"/>
                <w:b/>
                <w:bCs/>
                <w:color w:val="000000"/>
                <w:kern w:val="0"/>
                <w:sz w:val="22"/>
                <w:lang w:bidi="ar-SA"/>
              </w:rPr>
            </w:pPr>
            <w:r>
              <w:rPr>
                <w:rFonts w:hint="eastAsia" w:ascii="仿宋_GB2312" w:eastAsia="仿宋_GB2312" w:cs="宋体"/>
                <w:b/>
                <w:bCs/>
                <w:color w:val="000000"/>
                <w:kern w:val="0"/>
                <w:sz w:val="22"/>
                <w:lang w:bidi="ar-SA"/>
              </w:rPr>
              <w:t>　</w:t>
            </w:r>
          </w:p>
        </w:tc>
      </w:tr>
    </w:tbl>
    <w:p>
      <w:pPr>
        <w:snapToGrid w:val="0"/>
        <w:spacing w:before="187" w:beforeLines="60" w:line="300" w:lineRule="auto"/>
        <w:rPr>
          <w:rFonts w:hint="eastAsia" w:ascii="仿宋_GB2312" w:eastAsia="仿宋_GB2312" w:cs="仿宋_GB2312"/>
          <w:szCs w:val="21"/>
          <w:lang w:bidi="ar-SA"/>
        </w:rPr>
      </w:pPr>
      <w:r>
        <w:rPr>
          <w:rFonts w:hint="eastAsia" w:ascii="仿宋_GB2312" w:eastAsia="仿宋_GB2312" w:cs="仿宋_GB2312"/>
          <w:b/>
          <w:bCs/>
          <w:szCs w:val="21"/>
          <w:lang w:bidi="ar-SA"/>
        </w:rPr>
        <w:t>说明：</w:t>
      </w:r>
      <w:r>
        <w:rPr>
          <w:rFonts w:hint="eastAsia" w:ascii="仿宋_GB2312" w:eastAsia="仿宋_GB2312" w:cs="仿宋_GB2312"/>
          <w:kern w:val="0"/>
          <w:szCs w:val="21"/>
          <w:lang w:bidi="ar-SA"/>
        </w:rPr>
        <w:t>表格中评价标准，仅为参考。具体评价标准应由各地文旅主管部门根据项目类别、项目存续状况、传承人身体状况、地区工作状况等“因人制宜、精准施策”。</w:t>
      </w:r>
    </w:p>
    <w:p>
      <w:pPr>
        <w:rPr>
          <w:rFonts w:hint="eastAsia"/>
          <w:lang w:val="en" w:eastAsia="en"/>
        </w:rPr>
      </w:pPr>
    </w:p>
    <w:p>
      <w:pPr>
        <w:jc w:val="left"/>
        <w:rPr>
          <w:rFonts w:hint="eastAsia"/>
          <w:lang w:val="en" w:eastAsia="en"/>
        </w:rPr>
      </w:pPr>
    </w:p>
    <w:p>
      <w:pPr>
        <w:pStyle w:val="2"/>
        <w:rPr>
          <w:rFonts w:hint="eastAsia"/>
          <w:lang w:val="en" w:eastAsia="e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MTliODFhYTA0MzdkZjQzYjE0ZDk0NTYwNGEzNDQifQ=="/>
  </w:docVars>
  <w:rsids>
    <w:rsidRoot w:val="0C3F6EE7"/>
    <w:rsid w:val="0C3F6EE7"/>
    <w:rsid w:val="68701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1706</Words>
  <Characters>1761</Characters>
  <Lines>0</Lines>
  <Paragraphs>0</Paragraphs>
  <TotalTime>0</TotalTime>
  <ScaleCrop>false</ScaleCrop>
  <LinksUpToDate>false</LinksUpToDate>
  <CharactersWithSpaces>1790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2023-03-24T08:58:00Z</dcterms:created>
  <dc:creator>刘婧驮</dc:creator>
  <cp:lastModifiedBy>李振茹</cp:lastModifiedBy>
  <dcterms:modified xsi:type="dcterms:W3CDTF">2023-03-27T02:13:20Z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22AE493ECA3D4BF6A1A8A50BA346CAB0</vt:lpwstr>
  </property>
</Properties>
</file>